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7B26A" w14:textId="77777777" w:rsidR="005711E5" w:rsidRDefault="005711E5"/>
    <w:p w14:paraId="75AAF92F" w14:textId="290BE71C" w:rsidR="000B0BDA" w:rsidRDefault="000B0BDA">
      <w:r>
        <w:rPr>
          <w:noProof/>
        </w:rPr>
        <mc:AlternateContent>
          <mc:Choice Requires="wps">
            <w:drawing>
              <wp:anchor distT="0" distB="0" distL="114300" distR="114300" simplePos="0" relativeHeight="251659264" behindDoc="0" locked="0" layoutInCell="1" allowOverlap="1" wp14:anchorId="48ADD3DF" wp14:editId="54FACC36">
                <wp:simplePos x="0" y="0"/>
                <wp:positionH relativeFrom="column">
                  <wp:posOffset>38100</wp:posOffset>
                </wp:positionH>
                <wp:positionV relativeFrom="paragraph">
                  <wp:posOffset>55245</wp:posOffset>
                </wp:positionV>
                <wp:extent cx="5638800" cy="1038225"/>
                <wp:effectExtent l="0" t="0" r="19050" b="28575"/>
                <wp:wrapNone/>
                <wp:docPr id="284159190" name="Text Box 2"/>
                <wp:cNvGraphicFramePr/>
                <a:graphic xmlns:a="http://schemas.openxmlformats.org/drawingml/2006/main">
                  <a:graphicData uri="http://schemas.microsoft.com/office/word/2010/wordprocessingShape">
                    <wps:wsp>
                      <wps:cNvSpPr txBox="1"/>
                      <wps:spPr>
                        <a:xfrm>
                          <a:off x="0" y="0"/>
                          <a:ext cx="5638800" cy="1038225"/>
                        </a:xfrm>
                        <a:prstGeom prst="rect">
                          <a:avLst/>
                        </a:prstGeom>
                        <a:solidFill>
                          <a:schemeClr val="lt1"/>
                        </a:solidFill>
                        <a:ln w="6350">
                          <a:solidFill>
                            <a:prstClr val="black"/>
                          </a:solidFill>
                        </a:ln>
                      </wps:spPr>
                      <wps:txbx>
                        <w:txbxContent>
                          <w:p w14:paraId="79F29D16" w14:textId="57B06DCA" w:rsidR="000B0BDA" w:rsidRPr="000B0BDA" w:rsidRDefault="000B0BDA">
                            <w:pPr>
                              <w:rPr>
                                <w:rFonts w:cstheme="minorHAnsi"/>
                                <w:b/>
                                <w:bCs/>
                                <w:sz w:val="28"/>
                                <w:szCs w:val="28"/>
                              </w:rPr>
                            </w:pPr>
                            <w:r w:rsidRPr="000B0BDA">
                              <w:rPr>
                                <w:rFonts w:cstheme="minorHAnsi"/>
                                <w:b/>
                                <w:bCs/>
                                <w:sz w:val="28"/>
                                <w:szCs w:val="28"/>
                              </w:rPr>
                              <w:t>SUBJECT:</w:t>
                            </w:r>
                            <w:r w:rsidRPr="000B0BDA">
                              <w:rPr>
                                <w:rFonts w:cstheme="minorHAnsi"/>
                                <w:b/>
                                <w:bCs/>
                                <w:sz w:val="28"/>
                                <w:szCs w:val="28"/>
                              </w:rPr>
                              <w:tab/>
                              <w:t>Gwent Well-being Plan Annual Report</w:t>
                            </w:r>
                          </w:p>
                          <w:p w14:paraId="3384DB41" w14:textId="684E179B" w:rsidR="000B0BDA" w:rsidRPr="000B0BDA" w:rsidRDefault="000B0BDA">
                            <w:pPr>
                              <w:rPr>
                                <w:rFonts w:cstheme="minorHAnsi"/>
                                <w:b/>
                                <w:bCs/>
                                <w:sz w:val="28"/>
                                <w:szCs w:val="28"/>
                              </w:rPr>
                            </w:pPr>
                            <w:r w:rsidRPr="000B0BDA">
                              <w:rPr>
                                <w:rFonts w:cstheme="minorHAnsi"/>
                                <w:b/>
                                <w:bCs/>
                                <w:sz w:val="28"/>
                                <w:szCs w:val="28"/>
                              </w:rPr>
                              <w:t>MEETING:</w:t>
                            </w:r>
                            <w:r w:rsidRPr="000B0BDA">
                              <w:rPr>
                                <w:rFonts w:cstheme="minorHAnsi"/>
                                <w:b/>
                                <w:bCs/>
                                <w:sz w:val="28"/>
                                <w:szCs w:val="28"/>
                              </w:rPr>
                              <w:tab/>
                            </w:r>
                            <w:r>
                              <w:rPr>
                                <w:rFonts w:cstheme="minorHAnsi"/>
                                <w:b/>
                                <w:bCs/>
                                <w:sz w:val="28"/>
                                <w:szCs w:val="28"/>
                              </w:rPr>
                              <w:t xml:space="preserve">Gwent Public Services Board </w:t>
                            </w:r>
                          </w:p>
                          <w:p w14:paraId="2EEEC889" w14:textId="0C4A9E9C" w:rsidR="000B0BDA" w:rsidRPr="000B0BDA" w:rsidRDefault="000B0BDA">
                            <w:pPr>
                              <w:rPr>
                                <w:rFonts w:cstheme="minorHAnsi"/>
                                <w:b/>
                                <w:bCs/>
                                <w:sz w:val="24"/>
                                <w:szCs w:val="24"/>
                              </w:rPr>
                            </w:pPr>
                            <w:r w:rsidRPr="000B0BDA">
                              <w:rPr>
                                <w:rFonts w:cstheme="minorHAnsi"/>
                                <w:b/>
                                <w:bCs/>
                                <w:sz w:val="28"/>
                                <w:szCs w:val="28"/>
                              </w:rPr>
                              <w:t>DATE:</w:t>
                            </w:r>
                            <w:r w:rsidRPr="000B0BDA">
                              <w:rPr>
                                <w:rFonts w:cstheme="minorHAnsi"/>
                                <w:b/>
                                <w:bCs/>
                                <w:sz w:val="28"/>
                                <w:szCs w:val="28"/>
                              </w:rPr>
                              <w:tab/>
                            </w:r>
                            <w:r w:rsidRPr="000B0BDA">
                              <w:rPr>
                                <w:rFonts w:cstheme="minorHAnsi"/>
                                <w:b/>
                                <w:bCs/>
                                <w:sz w:val="28"/>
                                <w:szCs w:val="28"/>
                              </w:rPr>
                              <w:tab/>
                            </w:r>
                            <w:r>
                              <w:rPr>
                                <w:rFonts w:cstheme="minorHAnsi"/>
                                <w:b/>
                                <w:bCs/>
                                <w:sz w:val="28"/>
                                <w:szCs w:val="28"/>
                              </w:rPr>
                              <w:t>1</w:t>
                            </w:r>
                            <w:r w:rsidR="002C0E55">
                              <w:rPr>
                                <w:rFonts w:cstheme="minorHAnsi"/>
                                <w:b/>
                                <w:bCs/>
                                <w:sz w:val="28"/>
                                <w:szCs w:val="28"/>
                              </w:rPr>
                              <w:t>9</w:t>
                            </w:r>
                            <w:r w:rsidRPr="000B0BDA">
                              <w:rPr>
                                <w:rFonts w:cstheme="minorHAnsi"/>
                                <w:b/>
                                <w:bCs/>
                                <w:sz w:val="28"/>
                                <w:szCs w:val="28"/>
                                <w:vertAlign w:val="superscript"/>
                              </w:rPr>
                              <w:t>th</w:t>
                            </w:r>
                            <w:r>
                              <w:rPr>
                                <w:rFonts w:cstheme="minorHAnsi"/>
                                <w:b/>
                                <w:bCs/>
                                <w:sz w:val="28"/>
                                <w:szCs w:val="28"/>
                              </w:rPr>
                              <w:t xml:space="preserve"> 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ADD3DF" id="_x0000_t202" coordsize="21600,21600" o:spt="202" path="m,l,21600r21600,l21600,xe">
                <v:stroke joinstyle="miter"/>
                <v:path gradientshapeok="t" o:connecttype="rect"/>
              </v:shapetype>
              <v:shape id="Text Box 2" o:spid="_x0000_s1026" type="#_x0000_t202" style="position:absolute;margin-left:3pt;margin-top:4.35pt;width:444pt;height:8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" fillcolor="white [3201]" strokeweight=".5pt">
                <v:textbox>
                  <w:txbxContent>
                    <w:p w14:paraId="79F29D16" w14:textId="57B06DCA" w:rsidR="000B0BDA" w:rsidRPr="000B0BDA" w:rsidRDefault="000B0BDA">
                      <w:pPr>
                        <w:rPr>
                          <w:rFonts w:cstheme="minorHAnsi"/>
                          <w:b/>
                          <w:bCs/>
                          <w:sz w:val="28"/>
                          <w:szCs w:val="28"/>
                        </w:rPr>
                      </w:pPr>
                      <w:r w:rsidRPr="000B0BDA">
                        <w:rPr>
                          <w:rFonts w:cstheme="minorHAnsi"/>
                          <w:b/>
                          <w:bCs/>
                          <w:sz w:val="28"/>
                          <w:szCs w:val="28"/>
                        </w:rPr>
                        <w:t>SUBJECT:</w:t>
                      </w:r>
                      <w:r w:rsidRPr="000B0BDA">
                        <w:rPr>
                          <w:rFonts w:cstheme="minorHAnsi"/>
                          <w:b/>
                          <w:bCs/>
                          <w:sz w:val="28"/>
                          <w:szCs w:val="28"/>
                        </w:rPr>
                        <w:tab/>
                        <w:t>Gwent Well-being Plan Annual Report</w:t>
                      </w:r>
                    </w:p>
                    <w:p w14:paraId="3384DB41" w14:textId="684E179B" w:rsidR="000B0BDA" w:rsidRPr="000B0BDA" w:rsidRDefault="000B0BDA">
                      <w:pPr>
                        <w:rPr>
                          <w:rFonts w:cstheme="minorHAnsi"/>
                          <w:b/>
                          <w:bCs/>
                          <w:sz w:val="28"/>
                          <w:szCs w:val="28"/>
                        </w:rPr>
                      </w:pPr>
                      <w:r w:rsidRPr="000B0BDA">
                        <w:rPr>
                          <w:rFonts w:cstheme="minorHAnsi"/>
                          <w:b/>
                          <w:bCs/>
                          <w:sz w:val="28"/>
                          <w:szCs w:val="28"/>
                        </w:rPr>
                        <w:t>MEETING:</w:t>
                      </w:r>
                      <w:r w:rsidRPr="000B0BDA">
                        <w:rPr>
                          <w:rFonts w:cstheme="minorHAnsi"/>
                          <w:b/>
                          <w:bCs/>
                          <w:sz w:val="28"/>
                          <w:szCs w:val="28"/>
                        </w:rPr>
                        <w:tab/>
                      </w:r>
                      <w:r>
                        <w:rPr>
                          <w:rFonts w:cstheme="minorHAnsi"/>
                          <w:b/>
                          <w:bCs/>
                          <w:sz w:val="28"/>
                          <w:szCs w:val="28"/>
                        </w:rPr>
                        <w:t xml:space="preserve">Gwent Public Services Board </w:t>
                      </w:r>
                    </w:p>
                    <w:p w14:paraId="2EEEC889" w14:textId="0C4A9E9C" w:rsidR="000B0BDA" w:rsidRPr="000B0BDA" w:rsidRDefault="000B0BDA">
                      <w:pPr>
                        <w:rPr>
                          <w:rFonts w:cstheme="minorHAnsi"/>
                          <w:b/>
                          <w:bCs/>
                          <w:sz w:val="24"/>
                          <w:szCs w:val="24"/>
                        </w:rPr>
                      </w:pPr>
                      <w:r w:rsidRPr="000B0BDA">
                        <w:rPr>
                          <w:rFonts w:cstheme="minorHAnsi"/>
                          <w:b/>
                          <w:bCs/>
                          <w:sz w:val="28"/>
                          <w:szCs w:val="28"/>
                        </w:rPr>
                        <w:t>DATE:</w:t>
                      </w:r>
                      <w:r w:rsidRPr="000B0BDA">
                        <w:rPr>
                          <w:rFonts w:cstheme="minorHAnsi"/>
                          <w:b/>
                          <w:bCs/>
                          <w:sz w:val="28"/>
                          <w:szCs w:val="28"/>
                        </w:rPr>
                        <w:tab/>
                      </w:r>
                      <w:r w:rsidRPr="000B0BDA">
                        <w:rPr>
                          <w:rFonts w:cstheme="minorHAnsi"/>
                          <w:b/>
                          <w:bCs/>
                          <w:sz w:val="28"/>
                          <w:szCs w:val="28"/>
                        </w:rPr>
                        <w:tab/>
                      </w:r>
                      <w:r>
                        <w:rPr>
                          <w:rFonts w:cstheme="minorHAnsi"/>
                          <w:b/>
                          <w:bCs/>
                          <w:sz w:val="28"/>
                          <w:szCs w:val="28"/>
                        </w:rPr>
                        <w:t>1</w:t>
                      </w:r>
                      <w:r w:rsidR="002C0E55">
                        <w:rPr>
                          <w:rFonts w:cstheme="minorHAnsi"/>
                          <w:b/>
                          <w:bCs/>
                          <w:sz w:val="28"/>
                          <w:szCs w:val="28"/>
                        </w:rPr>
                        <w:t>9</w:t>
                      </w:r>
                      <w:r w:rsidRPr="000B0BDA">
                        <w:rPr>
                          <w:rFonts w:cstheme="minorHAnsi"/>
                          <w:b/>
                          <w:bCs/>
                          <w:sz w:val="28"/>
                          <w:szCs w:val="28"/>
                          <w:vertAlign w:val="superscript"/>
                        </w:rPr>
                        <w:t>th</w:t>
                      </w:r>
                      <w:r>
                        <w:rPr>
                          <w:rFonts w:cstheme="minorHAnsi"/>
                          <w:b/>
                          <w:bCs/>
                          <w:sz w:val="28"/>
                          <w:szCs w:val="28"/>
                        </w:rPr>
                        <w:t xml:space="preserve"> September 2024</w:t>
                      </w:r>
                    </w:p>
                  </w:txbxContent>
                </v:textbox>
              </v:shape>
            </w:pict>
          </mc:Fallback>
        </mc:AlternateContent>
      </w:r>
    </w:p>
    <w:p w14:paraId="4BD81AC9" w14:textId="77777777" w:rsidR="000B0BDA" w:rsidRDefault="000B0BDA"/>
    <w:p w14:paraId="266A2C1F" w14:textId="77777777" w:rsidR="000B0BDA" w:rsidRDefault="000B0BDA"/>
    <w:p w14:paraId="6683841E" w14:textId="77777777" w:rsidR="000B0BDA" w:rsidRDefault="000B0BDA"/>
    <w:p w14:paraId="1A784412" w14:textId="77777777" w:rsidR="000B0BDA" w:rsidRDefault="000B0BDA"/>
    <w:p w14:paraId="694CBC26" w14:textId="16765DF2" w:rsidR="000B0BDA" w:rsidRDefault="000B0BDA" w:rsidP="00AE13D2">
      <w:pPr>
        <w:spacing w:after="0"/>
        <w:rPr>
          <w:b/>
          <w:bCs/>
          <w:sz w:val="24"/>
          <w:szCs w:val="24"/>
        </w:rPr>
      </w:pPr>
      <w:r>
        <w:rPr>
          <w:b/>
          <w:bCs/>
          <w:sz w:val="24"/>
          <w:szCs w:val="24"/>
        </w:rPr>
        <w:t>1.</w:t>
      </w:r>
      <w:r>
        <w:rPr>
          <w:b/>
          <w:bCs/>
          <w:sz w:val="24"/>
          <w:szCs w:val="24"/>
        </w:rPr>
        <w:tab/>
        <w:t>PURPOSE</w:t>
      </w:r>
    </w:p>
    <w:p w14:paraId="76AF7417" w14:textId="49D8D866" w:rsidR="000B0BDA" w:rsidRDefault="000B0BDA" w:rsidP="00A87E19">
      <w:pPr>
        <w:rPr>
          <w:sz w:val="24"/>
          <w:szCs w:val="24"/>
        </w:rPr>
      </w:pPr>
      <w:r w:rsidRPr="000B0BDA">
        <w:rPr>
          <w:sz w:val="24"/>
          <w:szCs w:val="24"/>
        </w:rPr>
        <w:t>1.1</w:t>
      </w:r>
      <w:r>
        <w:rPr>
          <w:sz w:val="24"/>
          <w:szCs w:val="24"/>
        </w:rPr>
        <w:tab/>
        <w:t>T</w:t>
      </w:r>
      <w:r w:rsidRPr="000B0BDA">
        <w:rPr>
          <w:sz w:val="24"/>
          <w:szCs w:val="24"/>
        </w:rPr>
        <w:t>o present the first annual progress report on the Gwent Well-being Plan.</w:t>
      </w:r>
    </w:p>
    <w:p w14:paraId="2608F6B7" w14:textId="71D7C64C" w:rsidR="000B0BDA" w:rsidRDefault="000B0BDA" w:rsidP="000B0BDA">
      <w:pPr>
        <w:spacing w:after="0"/>
        <w:rPr>
          <w:b/>
          <w:bCs/>
          <w:sz w:val="24"/>
          <w:szCs w:val="24"/>
        </w:rPr>
      </w:pPr>
      <w:r w:rsidRPr="000B0BDA">
        <w:rPr>
          <w:b/>
          <w:bCs/>
          <w:sz w:val="24"/>
          <w:szCs w:val="24"/>
        </w:rPr>
        <w:t>2.</w:t>
      </w:r>
      <w:r w:rsidRPr="000B0BDA">
        <w:rPr>
          <w:b/>
          <w:bCs/>
          <w:sz w:val="24"/>
          <w:szCs w:val="24"/>
        </w:rPr>
        <w:tab/>
        <w:t>RECOMMENDATIONS</w:t>
      </w:r>
    </w:p>
    <w:p w14:paraId="3B807114" w14:textId="77777777" w:rsidR="005E6CDC" w:rsidRDefault="000B0BDA" w:rsidP="00A87E19">
      <w:pPr>
        <w:ind w:left="720" w:hanging="720"/>
        <w:rPr>
          <w:sz w:val="24"/>
          <w:szCs w:val="24"/>
        </w:rPr>
      </w:pPr>
      <w:r>
        <w:rPr>
          <w:sz w:val="24"/>
          <w:szCs w:val="24"/>
        </w:rPr>
        <w:t>2.1</w:t>
      </w:r>
      <w:r>
        <w:rPr>
          <w:sz w:val="24"/>
          <w:szCs w:val="24"/>
        </w:rPr>
        <w:tab/>
      </w:r>
      <w:r w:rsidRPr="000B0BDA">
        <w:rPr>
          <w:sz w:val="24"/>
          <w:szCs w:val="24"/>
        </w:rPr>
        <w:t>That the PSB notes the</w:t>
      </w:r>
      <w:r>
        <w:rPr>
          <w:sz w:val="24"/>
          <w:szCs w:val="24"/>
        </w:rPr>
        <w:t xml:space="preserve"> progress detailed in the first</w:t>
      </w:r>
      <w:r w:rsidRPr="000B0BDA">
        <w:rPr>
          <w:sz w:val="24"/>
          <w:szCs w:val="24"/>
        </w:rPr>
        <w:t xml:space="preserve"> </w:t>
      </w:r>
      <w:r>
        <w:rPr>
          <w:sz w:val="24"/>
          <w:szCs w:val="24"/>
        </w:rPr>
        <w:t xml:space="preserve">Annual Report </w:t>
      </w:r>
      <w:r w:rsidRPr="000B0BDA">
        <w:rPr>
          <w:sz w:val="24"/>
          <w:szCs w:val="24"/>
        </w:rPr>
        <w:t>against the Gwent Well-being Plan</w:t>
      </w:r>
      <w:r w:rsidR="005E6CDC">
        <w:rPr>
          <w:sz w:val="24"/>
          <w:szCs w:val="24"/>
        </w:rPr>
        <w:t>.</w:t>
      </w:r>
    </w:p>
    <w:p w14:paraId="7E276802" w14:textId="77777777" w:rsidR="00BD1CD8" w:rsidRDefault="005E6CDC" w:rsidP="00BD1CD8">
      <w:pPr>
        <w:ind w:left="720" w:hanging="720"/>
        <w:rPr>
          <w:sz w:val="24"/>
          <w:szCs w:val="24"/>
        </w:rPr>
      </w:pPr>
      <w:r>
        <w:rPr>
          <w:sz w:val="24"/>
          <w:szCs w:val="24"/>
        </w:rPr>
        <w:t>2.2</w:t>
      </w:r>
      <w:r>
        <w:rPr>
          <w:sz w:val="24"/>
          <w:szCs w:val="24"/>
        </w:rPr>
        <w:tab/>
        <w:t>That the PSB</w:t>
      </w:r>
      <w:r w:rsidR="000B0BDA" w:rsidRPr="000B0BDA">
        <w:rPr>
          <w:sz w:val="24"/>
          <w:szCs w:val="24"/>
        </w:rPr>
        <w:t xml:space="preserve"> </w:t>
      </w:r>
      <w:r w:rsidR="002C0E55">
        <w:rPr>
          <w:sz w:val="24"/>
          <w:szCs w:val="24"/>
        </w:rPr>
        <w:t>approves the Annual Report for publication</w:t>
      </w:r>
      <w:r>
        <w:rPr>
          <w:sz w:val="24"/>
          <w:szCs w:val="24"/>
        </w:rPr>
        <w:t xml:space="preserve"> with copies being sent to: Welsh Ministers, the Future Generations Commissioner and the Auditor General for Wales</w:t>
      </w:r>
      <w:r w:rsidR="000B0BDA" w:rsidRPr="000B0BDA">
        <w:rPr>
          <w:sz w:val="24"/>
          <w:szCs w:val="24"/>
        </w:rPr>
        <w:t>.</w:t>
      </w:r>
      <w:r w:rsidR="00BD1CD8">
        <w:rPr>
          <w:sz w:val="24"/>
          <w:szCs w:val="24"/>
        </w:rPr>
        <w:t xml:space="preserve"> </w:t>
      </w:r>
    </w:p>
    <w:p w14:paraId="20C9D7D7" w14:textId="4E723F73" w:rsidR="00BD1CD8" w:rsidRDefault="00BD1CD8" w:rsidP="00BD1CD8">
      <w:pPr>
        <w:ind w:left="720" w:hanging="720"/>
        <w:rPr>
          <w:sz w:val="24"/>
          <w:szCs w:val="24"/>
        </w:rPr>
      </w:pPr>
      <w:r>
        <w:rPr>
          <w:sz w:val="24"/>
          <w:szCs w:val="24"/>
        </w:rPr>
        <w:t>2.3</w:t>
      </w:r>
      <w:r>
        <w:rPr>
          <w:sz w:val="24"/>
          <w:szCs w:val="24"/>
        </w:rPr>
        <w:tab/>
        <w:t xml:space="preserve">That the PSB note that while there is a requirement to send the Annual Report to individual local authority Scrutiny Committees, as there is now a Regional Scrutiny Committee, which has considered the Annual Report, this will be for local determination. </w:t>
      </w:r>
    </w:p>
    <w:p w14:paraId="3ADFDD16" w14:textId="6E95121C" w:rsidR="000B0BDA" w:rsidRPr="000B0BDA" w:rsidRDefault="000B0BDA" w:rsidP="000B0BDA">
      <w:pPr>
        <w:spacing w:after="0"/>
        <w:ind w:left="720" w:hanging="720"/>
        <w:rPr>
          <w:b/>
          <w:bCs/>
          <w:sz w:val="24"/>
          <w:szCs w:val="24"/>
        </w:rPr>
      </w:pPr>
      <w:r>
        <w:rPr>
          <w:b/>
          <w:bCs/>
          <w:sz w:val="24"/>
          <w:szCs w:val="24"/>
        </w:rPr>
        <w:t>3.</w:t>
      </w:r>
      <w:r>
        <w:rPr>
          <w:b/>
          <w:bCs/>
          <w:sz w:val="24"/>
          <w:szCs w:val="24"/>
        </w:rPr>
        <w:tab/>
        <w:t>BACKGROUND</w:t>
      </w:r>
    </w:p>
    <w:p w14:paraId="68AF42B9" w14:textId="75D38686" w:rsidR="000B0BDA" w:rsidRPr="000B0BDA" w:rsidRDefault="000B0BDA" w:rsidP="00A87E19">
      <w:pPr>
        <w:ind w:left="720" w:hanging="720"/>
        <w:rPr>
          <w:sz w:val="24"/>
          <w:szCs w:val="24"/>
        </w:rPr>
      </w:pPr>
      <w:r w:rsidRPr="000B0BDA">
        <w:rPr>
          <w:sz w:val="24"/>
          <w:szCs w:val="24"/>
        </w:rPr>
        <w:t>3.1</w:t>
      </w:r>
      <w:r>
        <w:rPr>
          <w:sz w:val="24"/>
          <w:szCs w:val="24"/>
        </w:rPr>
        <w:tab/>
      </w:r>
      <w:r w:rsidRPr="000B0BDA">
        <w:rPr>
          <w:sz w:val="24"/>
          <w:szCs w:val="24"/>
        </w:rPr>
        <w:t>The Gwent Public Services Board (PSB) was set up under the Well-being of Future Generations (Wales) Act 2015 as a way for public bodies to work together to take a long-term joined-up approach to improving economic, social, environmental and cultural well-being</w:t>
      </w:r>
      <w:r w:rsidR="00A87E19">
        <w:rPr>
          <w:sz w:val="24"/>
          <w:szCs w:val="24"/>
        </w:rPr>
        <w:t>.</w:t>
      </w:r>
    </w:p>
    <w:p w14:paraId="269F9C7C" w14:textId="6F546344" w:rsidR="000B0BDA" w:rsidRDefault="000B0BDA" w:rsidP="00A87E19">
      <w:pPr>
        <w:ind w:left="720" w:hanging="720"/>
        <w:rPr>
          <w:sz w:val="24"/>
          <w:szCs w:val="24"/>
        </w:rPr>
      </w:pPr>
      <w:r>
        <w:rPr>
          <w:sz w:val="24"/>
          <w:szCs w:val="24"/>
        </w:rPr>
        <w:t>3.2</w:t>
      </w:r>
      <w:r>
        <w:rPr>
          <w:sz w:val="24"/>
          <w:szCs w:val="24"/>
        </w:rPr>
        <w:tab/>
      </w:r>
      <w:r w:rsidRPr="000B0BDA">
        <w:rPr>
          <w:sz w:val="24"/>
          <w:szCs w:val="24"/>
        </w:rPr>
        <w:t>The Act requires that the PSB sets out how they will do this through a Well-being Plan. This plan must follow the sustainable development principles; to act in a manner that seeks to ensure that the needs of the present are met without compromising the ability of future generations to meet their own needs.</w:t>
      </w:r>
    </w:p>
    <w:p w14:paraId="7A5DE2BD" w14:textId="2F3B4DFA" w:rsidR="00A87E19" w:rsidRPr="000B0BDA" w:rsidRDefault="00A87E19" w:rsidP="00A87E19">
      <w:pPr>
        <w:ind w:left="720" w:hanging="720"/>
        <w:rPr>
          <w:sz w:val="24"/>
          <w:szCs w:val="24"/>
        </w:rPr>
      </w:pPr>
      <w:r>
        <w:rPr>
          <w:sz w:val="24"/>
          <w:szCs w:val="24"/>
        </w:rPr>
        <w:t>3.3</w:t>
      </w:r>
      <w:r>
        <w:rPr>
          <w:sz w:val="24"/>
          <w:szCs w:val="24"/>
        </w:rPr>
        <w:tab/>
        <w:t>At the same time as developing the Well-being Plan, the PSB also commissioned the Institute for Health Equity to consider how to improve health inequalities across the region. The Building a Fairer Gwent report was published shortly after the Well</w:t>
      </w:r>
      <w:r>
        <w:rPr>
          <w:sz w:val="24"/>
          <w:szCs w:val="24"/>
        </w:rPr>
        <w:noBreakHyphen/>
        <w:t xml:space="preserve">being Plan and many of the recommendations dove tail with the aims of the Plan. </w:t>
      </w:r>
    </w:p>
    <w:p w14:paraId="28D95CC6" w14:textId="21A6453D" w:rsidR="000B0BDA" w:rsidRPr="000B0BDA" w:rsidRDefault="000B0BDA" w:rsidP="00A87E19">
      <w:pPr>
        <w:ind w:left="720" w:hanging="720"/>
        <w:rPr>
          <w:sz w:val="24"/>
          <w:szCs w:val="24"/>
        </w:rPr>
      </w:pPr>
      <w:r>
        <w:rPr>
          <w:sz w:val="24"/>
          <w:szCs w:val="24"/>
        </w:rPr>
        <w:t>3.3</w:t>
      </w:r>
      <w:r>
        <w:rPr>
          <w:sz w:val="24"/>
          <w:szCs w:val="24"/>
        </w:rPr>
        <w:tab/>
      </w:r>
      <w:r w:rsidRPr="000B0BDA">
        <w:rPr>
          <w:sz w:val="24"/>
          <w:szCs w:val="24"/>
        </w:rPr>
        <w:t xml:space="preserve">The PSB agreed its first regional Well-being Plan, covering the period 2023 to 2028, in July 2023.  The PSB is required to report on the steps they have taken to meet the objectives set out in the Well-being Plan through a progress report initially 14 months after the publication of a new Well-being Plan and annually after that. </w:t>
      </w:r>
    </w:p>
    <w:p w14:paraId="2679D5CE" w14:textId="5DA09E18" w:rsidR="000B0BDA" w:rsidRDefault="000B0BDA" w:rsidP="00A87E19">
      <w:pPr>
        <w:ind w:left="720" w:hanging="720"/>
        <w:rPr>
          <w:sz w:val="24"/>
          <w:szCs w:val="24"/>
        </w:rPr>
      </w:pPr>
      <w:r>
        <w:rPr>
          <w:sz w:val="24"/>
          <w:szCs w:val="24"/>
        </w:rPr>
        <w:t>3.4</w:t>
      </w:r>
      <w:r>
        <w:rPr>
          <w:sz w:val="24"/>
          <w:szCs w:val="24"/>
        </w:rPr>
        <w:tab/>
      </w:r>
      <w:r w:rsidRPr="000B0BDA">
        <w:rPr>
          <w:sz w:val="24"/>
          <w:szCs w:val="24"/>
        </w:rPr>
        <w:t xml:space="preserve">This Annual Progress Report is the first detailing progress on the Gwent Well-being Plan and covers the period July 2023 – March 2024.   </w:t>
      </w:r>
    </w:p>
    <w:p w14:paraId="259B6508" w14:textId="24F2EA79" w:rsidR="004C7F5E" w:rsidRDefault="004C7F5E" w:rsidP="000B0BDA">
      <w:pPr>
        <w:spacing w:after="0"/>
        <w:ind w:left="720" w:hanging="720"/>
        <w:rPr>
          <w:b/>
          <w:bCs/>
          <w:sz w:val="24"/>
          <w:szCs w:val="24"/>
        </w:rPr>
      </w:pPr>
      <w:r w:rsidRPr="004C7F5E">
        <w:rPr>
          <w:b/>
          <w:bCs/>
          <w:sz w:val="24"/>
          <w:szCs w:val="24"/>
        </w:rPr>
        <w:lastRenderedPageBreak/>
        <w:t>4.</w:t>
      </w:r>
      <w:r w:rsidRPr="004C7F5E">
        <w:rPr>
          <w:b/>
          <w:bCs/>
          <w:sz w:val="24"/>
          <w:szCs w:val="24"/>
        </w:rPr>
        <w:tab/>
        <w:t>KEY ISSUES</w:t>
      </w:r>
    </w:p>
    <w:p w14:paraId="1C4EE692" w14:textId="63A5BD8E" w:rsidR="004C7F5E" w:rsidRDefault="004C7F5E" w:rsidP="00A87E19">
      <w:pPr>
        <w:ind w:left="720" w:hanging="720"/>
        <w:rPr>
          <w:sz w:val="24"/>
          <w:szCs w:val="24"/>
        </w:rPr>
      </w:pPr>
      <w:r>
        <w:rPr>
          <w:sz w:val="24"/>
          <w:szCs w:val="24"/>
        </w:rPr>
        <w:t>4.1</w:t>
      </w:r>
      <w:r>
        <w:rPr>
          <w:sz w:val="24"/>
          <w:szCs w:val="24"/>
        </w:rPr>
        <w:tab/>
        <w:t xml:space="preserve">The PSB identified two objectives and 5 supporting steps in their first Well-being Plan. </w:t>
      </w:r>
    </w:p>
    <w:p w14:paraId="3FB5A8F9" w14:textId="7B368EED" w:rsidR="004C7F5E" w:rsidRDefault="004C7F5E" w:rsidP="000B0BDA">
      <w:pPr>
        <w:spacing w:after="0"/>
        <w:ind w:left="720" w:hanging="720"/>
        <w:rPr>
          <w:sz w:val="24"/>
          <w:szCs w:val="24"/>
        </w:rPr>
      </w:pPr>
      <w:r>
        <w:rPr>
          <w:sz w:val="24"/>
          <w:szCs w:val="24"/>
        </w:rPr>
        <w:t>4.2</w:t>
      </w:r>
      <w:r>
        <w:rPr>
          <w:sz w:val="24"/>
          <w:szCs w:val="24"/>
        </w:rPr>
        <w:tab/>
        <w:t xml:space="preserve">In order to deliver the Plan four Areas of Focus were agreed. These are: </w:t>
      </w:r>
    </w:p>
    <w:p w14:paraId="0F6E7AA9" w14:textId="77777777" w:rsidR="00A87E19" w:rsidRDefault="00A87E19" w:rsidP="00A87E19">
      <w:pPr>
        <w:pStyle w:val="ListParagraph"/>
        <w:numPr>
          <w:ilvl w:val="0"/>
          <w:numId w:val="5"/>
        </w:numPr>
        <w:spacing w:after="0"/>
        <w:rPr>
          <w:sz w:val="24"/>
          <w:szCs w:val="24"/>
        </w:rPr>
      </w:pPr>
      <w:r w:rsidRPr="00A87E19">
        <w:rPr>
          <w:sz w:val="24"/>
          <w:szCs w:val="24"/>
        </w:rPr>
        <w:t>That every child has the best start in life</w:t>
      </w:r>
    </w:p>
    <w:p w14:paraId="52BD5D25" w14:textId="77777777" w:rsidR="00A87E19" w:rsidRDefault="00A87E19" w:rsidP="00A87E19">
      <w:pPr>
        <w:pStyle w:val="ListParagraph"/>
        <w:numPr>
          <w:ilvl w:val="0"/>
          <w:numId w:val="5"/>
        </w:numPr>
        <w:spacing w:after="0"/>
        <w:rPr>
          <w:sz w:val="24"/>
          <w:szCs w:val="24"/>
        </w:rPr>
      </w:pPr>
      <w:r w:rsidRPr="00A87E19">
        <w:rPr>
          <w:sz w:val="24"/>
          <w:szCs w:val="24"/>
        </w:rPr>
        <w:t>That everyone lives in a place they feel safe</w:t>
      </w:r>
    </w:p>
    <w:p w14:paraId="559F34DC" w14:textId="77777777" w:rsidR="00A87E19" w:rsidRDefault="00A87E19" w:rsidP="00A87E19">
      <w:pPr>
        <w:pStyle w:val="ListParagraph"/>
        <w:numPr>
          <w:ilvl w:val="0"/>
          <w:numId w:val="5"/>
        </w:numPr>
        <w:spacing w:after="0"/>
        <w:rPr>
          <w:sz w:val="24"/>
          <w:szCs w:val="24"/>
        </w:rPr>
      </w:pPr>
      <w:r w:rsidRPr="00A87E19">
        <w:rPr>
          <w:sz w:val="24"/>
          <w:szCs w:val="24"/>
        </w:rPr>
        <w:t>That everyone has the same economic chances</w:t>
      </w:r>
    </w:p>
    <w:p w14:paraId="2DDFAE81" w14:textId="1228B177" w:rsidR="000B0BDA" w:rsidRPr="00A87E19" w:rsidRDefault="00A87E19" w:rsidP="00A87E19">
      <w:pPr>
        <w:pStyle w:val="ListParagraph"/>
        <w:numPr>
          <w:ilvl w:val="0"/>
          <w:numId w:val="5"/>
        </w:numPr>
        <w:ind w:left="1077" w:hanging="357"/>
        <w:contextualSpacing w:val="0"/>
        <w:rPr>
          <w:b/>
          <w:bCs/>
          <w:sz w:val="24"/>
          <w:szCs w:val="24"/>
        </w:rPr>
      </w:pPr>
      <w:r w:rsidRPr="00A87E19">
        <w:rPr>
          <w:sz w:val="24"/>
          <w:szCs w:val="24"/>
        </w:rPr>
        <w:t>That everyone lives in a climate ready community where their environment is valued and protected</w:t>
      </w:r>
      <w:r>
        <w:rPr>
          <w:sz w:val="24"/>
          <w:szCs w:val="24"/>
        </w:rPr>
        <w:t>.</w:t>
      </w:r>
    </w:p>
    <w:p w14:paraId="7380C9BC" w14:textId="5163347C" w:rsidR="00A87E19" w:rsidRDefault="00A87E19" w:rsidP="00A87E19">
      <w:pPr>
        <w:ind w:left="720" w:hanging="720"/>
        <w:rPr>
          <w:sz w:val="24"/>
          <w:szCs w:val="24"/>
        </w:rPr>
      </w:pPr>
      <w:r w:rsidRPr="00A87E19">
        <w:rPr>
          <w:sz w:val="24"/>
          <w:szCs w:val="24"/>
        </w:rPr>
        <w:t>4.3</w:t>
      </w:r>
      <w:r>
        <w:rPr>
          <w:sz w:val="24"/>
          <w:szCs w:val="24"/>
        </w:rPr>
        <w:tab/>
        <w:t xml:space="preserve">In the months following the adoption of the Well-being Plan the PSB and its wider partners have been considering what the most effective and collaborative actions to take are. </w:t>
      </w:r>
    </w:p>
    <w:p w14:paraId="0F3E6B43" w14:textId="2D9E06DA" w:rsidR="00A87E19" w:rsidRPr="00AE13D2" w:rsidRDefault="00A87E19" w:rsidP="00AE13D2">
      <w:pPr>
        <w:spacing w:after="0"/>
        <w:ind w:left="720" w:hanging="720"/>
        <w:rPr>
          <w:b/>
          <w:bCs/>
          <w:sz w:val="24"/>
          <w:szCs w:val="24"/>
        </w:rPr>
      </w:pPr>
      <w:r w:rsidRPr="00AE13D2">
        <w:rPr>
          <w:b/>
          <w:bCs/>
          <w:sz w:val="24"/>
          <w:szCs w:val="24"/>
        </w:rPr>
        <w:t>5.</w:t>
      </w:r>
      <w:r w:rsidRPr="00AE13D2">
        <w:rPr>
          <w:b/>
          <w:bCs/>
          <w:sz w:val="24"/>
          <w:szCs w:val="24"/>
        </w:rPr>
        <w:tab/>
        <w:t>RESOURCES</w:t>
      </w:r>
      <w:r w:rsidRPr="00AE13D2">
        <w:rPr>
          <w:b/>
          <w:bCs/>
          <w:sz w:val="24"/>
          <w:szCs w:val="24"/>
        </w:rPr>
        <w:tab/>
      </w:r>
    </w:p>
    <w:p w14:paraId="2F5DCE65" w14:textId="6088CB82" w:rsidR="00A87E19" w:rsidRDefault="00A87E19" w:rsidP="00A87E19">
      <w:pPr>
        <w:ind w:left="720" w:hanging="720"/>
        <w:rPr>
          <w:sz w:val="24"/>
          <w:szCs w:val="24"/>
        </w:rPr>
      </w:pPr>
      <w:r>
        <w:rPr>
          <w:sz w:val="24"/>
          <w:szCs w:val="24"/>
        </w:rPr>
        <w:t>5.1</w:t>
      </w:r>
      <w:r>
        <w:rPr>
          <w:sz w:val="24"/>
          <w:szCs w:val="24"/>
        </w:rPr>
        <w:tab/>
        <w:t xml:space="preserve">The Annual Report has been prepared by officers sitting within each of the </w:t>
      </w:r>
      <w:r w:rsidR="00AE13D2">
        <w:rPr>
          <w:sz w:val="24"/>
          <w:szCs w:val="24"/>
        </w:rPr>
        <w:t>partnership</w:t>
      </w:r>
      <w:r>
        <w:rPr>
          <w:sz w:val="24"/>
          <w:szCs w:val="24"/>
        </w:rPr>
        <w:t xml:space="preserve"> organisations. </w:t>
      </w:r>
    </w:p>
    <w:p w14:paraId="4A9F59A6" w14:textId="16A95747" w:rsidR="00A87E19" w:rsidRDefault="00A87E19" w:rsidP="00AE13D2">
      <w:pPr>
        <w:ind w:left="720" w:hanging="720"/>
        <w:rPr>
          <w:sz w:val="24"/>
          <w:szCs w:val="24"/>
        </w:rPr>
      </w:pPr>
      <w:r>
        <w:rPr>
          <w:sz w:val="24"/>
          <w:szCs w:val="24"/>
        </w:rPr>
        <w:t>5.2</w:t>
      </w:r>
      <w:r>
        <w:rPr>
          <w:sz w:val="24"/>
          <w:szCs w:val="24"/>
        </w:rPr>
        <w:tab/>
        <w:t xml:space="preserve">Resourcing for the delivery of the Well-being Plan comes from the PSB organisations </w:t>
      </w:r>
      <w:r w:rsidR="00AE13D2">
        <w:rPr>
          <w:sz w:val="24"/>
          <w:szCs w:val="24"/>
        </w:rPr>
        <w:t>existing</w:t>
      </w:r>
      <w:r>
        <w:rPr>
          <w:sz w:val="24"/>
          <w:szCs w:val="24"/>
        </w:rPr>
        <w:t xml:space="preserve"> budgets. </w:t>
      </w:r>
      <w:r w:rsidR="00AE13D2" w:rsidRPr="00AE13D2">
        <w:rPr>
          <w:sz w:val="24"/>
          <w:szCs w:val="24"/>
        </w:rPr>
        <w:t>The leadership group(s) will be responsible for identifying the resource requirement to deliver the PSB ambitions.</w:t>
      </w:r>
    </w:p>
    <w:p w14:paraId="44859452" w14:textId="11572BB1" w:rsidR="00AE13D2" w:rsidRPr="00AE13D2" w:rsidRDefault="00AE13D2" w:rsidP="00AE13D2">
      <w:pPr>
        <w:spacing w:after="0"/>
        <w:ind w:left="720" w:hanging="720"/>
        <w:rPr>
          <w:b/>
          <w:bCs/>
          <w:sz w:val="24"/>
          <w:szCs w:val="24"/>
        </w:rPr>
      </w:pPr>
      <w:r w:rsidRPr="00AE13D2">
        <w:rPr>
          <w:b/>
          <w:bCs/>
          <w:sz w:val="24"/>
          <w:szCs w:val="24"/>
        </w:rPr>
        <w:t>6.</w:t>
      </w:r>
      <w:r w:rsidRPr="00AE13D2">
        <w:rPr>
          <w:b/>
          <w:bCs/>
          <w:sz w:val="24"/>
          <w:szCs w:val="24"/>
        </w:rPr>
        <w:tab/>
        <w:t>AUTHORS</w:t>
      </w:r>
    </w:p>
    <w:p w14:paraId="364684A0" w14:textId="5F8AB2D5" w:rsidR="000B0BDA" w:rsidRDefault="00AE13D2" w:rsidP="00AE13D2">
      <w:pPr>
        <w:ind w:left="720"/>
        <w:rPr>
          <w:sz w:val="24"/>
          <w:szCs w:val="24"/>
        </w:rPr>
      </w:pPr>
      <w:r w:rsidRPr="00AE13D2">
        <w:rPr>
          <w:sz w:val="24"/>
          <w:szCs w:val="24"/>
        </w:rPr>
        <w:t>Gwent Strategic Well</w:t>
      </w:r>
      <w:r>
        <w:rPr>
          <w:sz w:val="24"/>
          <w:szCs w:val="24"/>
        </w:rPr>
        <w:noBreakHyphen/>
      </w:r>
      <w:r w:rsidRPr="00AE13D2">
        <w:rPr>
          <w:sz w:val="24"/>
          <w:szCs w:val="24"/>
        </w:rPr>
        <w:t>being Action Group</w:t>
      </w:r>
    </w:p>
    <w:p w14:paraId="154B0C23" w14:textId="77777777" w:rsidR="00AE13D2" w:rsidRPr="00AE13D2" w:rsidRDefault="00AE13D2" w:rsidP="00AE13D2">
      <w:pPr>
        <w:spacing w:after="0"/>
        <w:ind w:left="720"/>
        <w:rPr>
          <w:sz w:val="24"/>
          <w:szCs w:val="24"/>
        </w:rPr>
      </w:pPr>
    </w:p>
    <w:p w14:paraId="15773A45" w14:textId="77777777" w:rsidR="000B0BDA" w:rsidRPr="000B0BDA" w:rsidRDefault="000B0BDA" w:rsidP="000B0BDA">
      <w:pPr>
        <w:spacing w:after="0"/>
        <w:rPr>
          <w:b/>
          <w:bCs/>
          <w:sz w:val="24"/>
          <w:szCs w:val="24"/>
        </w:rPr>
      </w:pPr>
    </w:p>
    <w:p w14:paraId="492E703A" w14:textId="77777777" w:rsidR="000B0BDA" w:rsidRPr="000B0BDA" w:rsidRDefault="000B0BDA">
      <w:pPr>
        <w:rPr>
          <w:sz w:val="24"/>
          <w:szCs w:val="24"/>
        </w:rPr>
      </w:pPr>
    </w:p>
    <w:p w14:paraId="74373C35" w14:textId="7A8F282F" w:rsidR="000B0BDA" w:rsidRPr="000B0BDA" w:rsidRDefault="000B0BDA">
      <w:pPr>
        <w:rPr>
          <w:sz w:val="24"/>
          <w:szCs w:val="24"/>
        </w:rPr>
      </w:pPr>
      <w:r w:rsidRPr="000B0BDA">
        <w:rPr>
          <w:sz w:val="24"/>
          <w:szCs w:val="24"/>
        </w:rPr>
        <w:t xml:space="preserve">Appendix 1 </w:t>
      </w:r>
      <w:r w:rsidRPr="000B0BDA">
        <w:rPr>
          <w:sz w:val="24"/>
          <w:szCs w:val="24"/>
        </w:rPr>
        <w:tab/>
        <w:t>Draft Annual Report</w:t>
      </w:r>
    </w:p>
    <w:sectPr w:rsidR="000B0BDA" w:rsidRPr="000B0BD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DCC68" w14:textId="77777777" w:rsidR="000B0BDA" w:rsidRDefault="000B0BDA" w:rsidP="000B0BDA">
      <w:pPr>
        <w:spacing w:after="0" w:line="240" w:lineRule="auto"/>
      </w:pPr>
      <w:r>
        <w:separator/>
      </w:r>
    </w:p>
  </w:endnote>
  <w:endnote w:type="continuationSeparator" w:id="0">
    <w:p w14:paraId="2538280A" w14:textId="77777777" w:rsidR="000B0BDA" w:rsidRDefault="000B0BDA" w:rsidP="000B0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97547" w14:textId="77777777" w:rsidR="000B0BDA" w:rsidRDefault="000B0BDA" w:rsidP="000B0BDA">
      <w:pPr>
        <w:spacing w:after="0" w:line="240" w:lineRule="auto"/>
      </w:pPr>
      <w:r>
        <w:separator/>
      </w:r>
    </w:p>
  </w:footnote>
  <w:footnote w:type="continuationSeparator" w:id="0">
    <w:p w14:paraId="71BE6920" w14:textId="77777777" w:rsidR="000B0BDA" w:rsidRDefault="000B0BDA" w:rsidP="000B0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C2F47" w14:textId="68899E5E" w:rsidR="000B0BDA" w:rsidRDefault="000B0BDA">
    <w:pPr>
      <w:pStyle w:val="Header"/>
    </w:pPr>
    <w:r>
      <w:rPr>
        <w:noProof/>
      </w:rPr>
      <w:drawing>
        <wp:inline distT="0" distB="0" distL="0" distR="0" wp14:anchorId="1D01690B" wp14:editId="164B0418">
          <wp:extent cx="1123950" cy="567168"/>
          <wp:effectExtent l="0" t="0" r="0" b="4445"/>
          <wp:docPr id="127269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761" cy="57010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C3B30"/>
    <w:multiLevelType w:val="hybridMultilevel"/>
    <w:tmpl w:val="D292E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672218"/>
    <w:multiLevelType w:val="hybridMultilevel"/>
    <w:tmpl w:val="3F24A2D4"/>
    <w:lvl w:ilvl="0" w:tplc="25605DFE">
      <w:start w:val="1"/>
      <w:numFmt w:val="decimal"/>
      <w:lvlText w:val="%1."/>
      <w:lvlJc w:val="left"/>
      <w:pPr>
        <w:ind w:left="720" w:hanging="360"/>
      </w:pPr>
      <w:rPr>
        <w:rFonts w:hint="default"/>
        <w:b/>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F15BF3"/>
    <w:multiLevelType w:val="hybridMultilevel"/>
    <w:tmpl w:val="1410316A"/>
    <w:lvl w:ilvl="0" w:tplc="25605DFE">
      <w:start w:val="1"/>
      <w:numFmt w:val="decimal"/>
      <w:lvlText w:val="%1."/>
      <w:lvlJc w:val="left"/>
      <w:pPr>
        <w:ind w:left="360" w:hanging="360"/>
      </w:pPr>
      <w:rPr>
        <w:rFonts w:hint="default"/>
        <w:b/>
        <w:bCs/>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92769A0"/>
    <w:multiLevelType w:val="hybridMultilevel"/>
    <w:tmpl w:val="F0DA8C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0BA4D3B"/>
    <w:multiLevelType w:val="multilevel"/>
    <w:tmpl w:val="0809001F"/>
    <w:lvl w:ilvl="0">
      <w:start w:val="1"/>
      <w:numFmt w:val="decimal"/>
      <w:lvlText w:val="%1."/>
      <w:lvlJc w:val="left"/>
      <w:pPr>
        <w:ind w:left="360" w:hanging="360"/>
      </w:pPr>
      <w:rPr>
        <w:rFonts w:hint="default"/>
        <w:b/>
        <w:bCs/>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4401624">
    <w:abstractNumId w:val="0"/>
  </w:num>
  <w:num w:numId="2" w16cid:durableId="1198541275">
    <w:abstractNumId w:val="2"/>
  </w:num>
  <w:num w:numId="3" w16cid:durableId="1946225753">
    <w:abstractNumId w:val="4"/>
  </w:num>
  <w:num w:numId="4" w16cid:durableId="1692991825">
    <w:abstractNumId w:val="1"/>
  </w:num>
  <w:num w:numId="5" w16cid:durableId="1314141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BDA"/>
    <w:rsid w:val="00083288"/>
    <w:rsid w:val="000B0BDA"/>
    <w:rsid w:val="001171E5"/>
    <w:rsid w:val="001C011B"/>
    <w:rsid w:val="002C0E55"/>
    <w:rsid w:val="00387465"/>
    <w:rsid w:val="004C7F5E"/>
    <w:rsid w:val="005711E5"/>
    <w:rsid w:val="005E6CDC"/>
    <w:rsid w:val="00630646"/>
    <w:rsid w:val="00660050"/>
    <w:rsid w:val="00675CFE"/>
    <w:rsid w:val="00841F98"/>
    <w:rsid w:val="00A52172"/>
    <w:rsid w:val="00A87E19"/>
    <w:rsid w:val="00AE13D2"/>
    <w:rsid w:val="00BD1CD8"/>
    <w:rsid w:val="00C52230"/>
    <w:rsid w:val="00CA21CF"/>
    <w:rsid w:val="00CC1A0B"/>
    <w:rsid w:val="00CE26C8"/>
    <w:rsid w:val="00DC0B10"/>
    <w:rsid w:val="00DC7C4B"/>
    <w:rsid w:val="00FE3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184BFD"/>
  <w15:chartTrackingRefBased/>
  <w15:docId w15:val="{07DEDD94-9E79-40DB-9660-C4D72D45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B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0B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0B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0B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0B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0B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B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B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B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B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0B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0B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0B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0B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0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BDA"/>
    <w:rPr>
      <w:rFonts w:eastAsiaTheme="majorEastAsia" w:cstheme="majorBidi"/>
      <w:color w:val="272727" w:themeColor="text1" w:themeTint="D8"/>
    </w:rPr>
  </w:style>
  <w:style w:type="paragraph" w:styleId="Title">
    <w:name w:val="Title"/>
    <w:basedOn w:val="Normal"/>
    <w:next w:val="Normal"/>
    <w:link w:val="TitleChar"/>
    <w:uiPriority w:val="10"/>
    <w:qFormat/>
    <w:rsid w:val="000B0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B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BDA"/>
    <w:pPr>
      <w:spacing w:before="160"/>
      <w:jc w:val="center"/>
    </w:pPr>
    <w:rPr>
      <w:i/>
      <w:iCs/>
      <w:color w:val="404040" w:themeColor="text1" w:themeTint="BF"/>
    </w:rPr>
  </w:style>
  <w:style w:type="character" w:customStyle="1" w:styleId="QuoteChar">
    <w:name w:val="Quote Char"/>
    <w:basedOn w:val="DefaultParagraphFont"/>
    <w:link w:val="Quote"/>
    <w:uiPriority w:val="29"/>
    <w:rsid w:val="000B0BDA"/>
    <w:rPr>
      <w:i/>
      <w:iCs/>
      <w:color w:val="404040" w:themeColor="text1" w:themeTint="BF"/>
    </w:rPr>
  </w:style>
  <w:style w:type="paragraph" w:styleId="ListParagraph">
    <w:name w:val="List Paragraph"/>
    <w:basedOn w:val="Normal"/>
    <w:uiPriority w:val="34"/>
    <w:qFormat/>
    <w:rsid w:val="000B0BDA"/>
    <w:pPr>
      <w:ind w:left="720"/>
      <w:contextualSpacing/>
    </w:pPr>
  </w:style>
  <w:style w:type="character" w:styleId="IntenseEmphasis">
    <w:name w:val="Intense Emphasis"/>
    <w:basedOn w:val="DefaultParagraphFont"/>
    <w:uiPriority w:val="21"/>
    <w:qFormat/>
    <w:rsid w:val="000B0BDA"/>
    <w:rPr>
      <w:i/>
      <w:iCs/>
      <w:color w:val="2F5496" w:themeColor="accent1" w:themeShade="BF"/>
    </w:rPr>
  </w:style>
  <w:style w:type="paragraph" w:styleId="IntenseQuote">
    <w:name w:val="Intense Quote"/>
    <w:basedOn w:val="Normal"/>
    <w:next w:val="Normal"/>
    <w:link w:val="IntenseQuoteChar"/>
    <w:uiPriority w:val="30"/>
    <w:qFormat/>
    <w:rsid w:val="000B0B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0BDA"/>
    <w:rPr>
      <w:i/>
      <w:iCs/>
      <w:color w:val="2F5496" w:themeColor="accent1" w:themeShade="BF"/>
    </w:rPr>
  </w:style>
  <w:style w:type="character" w:styleId="IntenseReference">
    <w:name w:val="Intense Reference"/>
    <w:basedOn w:val="DefaultParagraphFont"/>
    <w:uiPriority w:val="32"/>
    <w:qFormat/>
    <w:rsid w:val="000B0BDA"/>
    <w:rPr>
      <w:b/>
      <w:bCs/>
      <w:smallCaps/>
      <w:color w:val="2F5496" w:themeColor="accent1" w:themeShade="BF"/>
      <w:spacing w:val="5"/>
    </w:rPr>
  </w:style>
  <w:style w:type="paragraph" w:styleId="Header">
    <w:name w:val="header"/>
    <w:basedOn w:val="Normal"/>
    <w:link w:val="HeaderChar"/>
    <w:uiPriority w:val="99"/>
    <w:unhideWhenUsed/>
    <w:rsid w:val="000B0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BDA"/>
  </w:style>
  <w:style w:type="paragraph" w:styleId="Footer">
    <w:name w:val="footer"/>
    <w:basedOn w:val="Normal"/>
    <w:link w:val="FooterChar"/>
    <w:uiPriority w:val="99"/>
    <w:unhideWhenUsed/>
    <w:rsid w:val="000B0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Delonnette, Heather</dc:creator>
  <cp:keywords/>
  <dc:description/>
  <cp:lastModifiedBy>Delonnette, Heather</cp:lastModifiedBy>
  <cp:revision>2</cp:revision>
  <dcterms:created xsi:type="dcterms:W3CDTF">2024-09-11T14:28:00Z</dcterms:created>
  <dcterms:modified xsi:type="dcterms:W3CDTF">2024-09-11T14:28:00Z</dcterms:modified>
</cp:coreProperties>
</file>