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A32E4" w14:textId="5FFAB520" w:rsidR="001A588D" w:rsidRDefault="001A588D" w:rsidP="00FF6F4B">
      <w:pPr>
        <w:rPr>
          <w:rFonts w:ascii="Arial" w:hAnsi="Arial" w:cs="Arial"/>
          <w:b/>
          <w:lang w:val="en-US"/>
        </w:rPr>
      </w:pPr>
      <w:bookmarkStart w:id="0" w:name="_Hlk80715235"/>
    </w:p>
    <w:p w14:paraId="135B77A1" w14:textId="77777777" w:rsidR="001A588D" w:rsidRPr="001A588D" w:rsidRDefault="001A588D" w:rsidP="001A588D">
      <w:pPr>
        <w:jc w:val="both"/>
        <w:rPr>
          <w:rFonts w:ascii="Arial" w:hAnsi="Arial" w:cs="Arial"/>
          <w:lang w:val="en-US"/>
        </w:rPr>
      </w:pPr>
    </w:p>
    <w:bookmarkEnd w:id="0"/>
    <w:p w14:paraId="7233C407" w14:textId="15474BC9" w:rsidR="001A588D" w:rsidRDefault="001A588D" w:rsidP="00CF670C">
      <w:pPr>
        <w:ind w:left="1440" w:hanging="1440"/>
        <w:jc w:val="both"/>
        <w:rPr>
          <w:rFonts w:ascii="Arial" w:hAnsi="Arial" w:cs="Arial"/>
          <w:b/>
          <w:bCs/>
          <w:lang w:val="en-US"/>
        </w:rPr>
      </w:pPr>
      <w:r w:rsidRPr="2D479C8F">
        <w:rPr>
          <w:rFonts w:ascii="Arial" w:hAnsi="Arial" w:cs="Arial"/>
          <w:b/>
          <w:bCs/>
          <w:lang w:val="en-US"/>
        </w:rPr>
        <w:t xml:space="preserve">SUBJECT: </w:t>
      </w:r>
      <w:r w:rsidR="00CF670C">
        <w:rPr>
          <w:rFonts w:ascii="Arial" w:hAnsi="Arial" w:cs="Arial"/>
          <w:b/>
          <w:bCs/>
          <w:lang w:val="en-US"/>
        </w:rPr>
        <w:tab/>
      </w:r>
      <w:r w:rsidR="00B817EF">
        <w:rPr>
          <w:rFonts w:ascii="Arial" w:hAnsi="Arial" w:cs="Arial"/>
          <w:b/>
          <w:bCs/>
          <w:lang w:val="en-US"/>
        </w:rPr>
        <w:t>Scrutiny Function to support the Public Services Board 2025/26</w:t>
      </w:r>
    </w:p>
    <w:p w14:paraId="2F289AB4" w14:textId="43C3AEE7" w:rsidR="00CF670C" w:rsidRDefault="00CF670C" w:rsidP="00CF670C">
      <w:pPr>
        <w:ind w:left="1440" w:hanging="1440"/>
        <w:jc w:val="both"/>
        <w:rPr>
          <w:rFonts w:ascii="Arial" w:hAnsi="Arial" w:cs="Arial"/>
          <w:b/>
          <w:bCs/>
          <w:lang w:val="en-US"/>
        </w:rPr>
      </w:pPr>
    </w:p>
    <w:p w14:paraId="4519A0A5" w14:textId="219A8228" w:rsidR="00CF670C" w:rsidRDefault="00CF670C" w:rsidP="00CF670C">
      <w:pPr>
        <w:ind w:left="1440" w:hanging="1440"/>
        <w:jc w:val="both"/>
        <w:rPr>
          <w:rFonts w:ascii="Arial" w:hAnsi="Arial" w:cs="Arial"/>
          <w:b/>
          <w:bCs/>
          <w:lang w:val="en-US"/>
        </w:rPr>
      </w:pPr>
      <w:r>
        <w:rPr>
          <w:rFonts w:ascii="Arial" w:hAnsi="Arial" w:cs="Arial"/>
          <w:b/>
          <w:bCs/>
          <w:lang w:val="en-US"/>
        </w:rPr>
        <w:t>MEETING:</w:t>
      </w:r>
      <w:r>
        <w:rPr>
          <w:rFonts w:ascii="Arial" w:hAnsi="Arial" w:cs="Arial"/>
          <w:b/>
          <w:bCs/>
          <w:lang w:val="en-US"/>
        </w:rPr>
        <w:tab/>
        <w:t>Gwent Public Services Board</w:t>
      </w:r>
    </w:p>
    <w:p w14:paraId="0717DD3E" w14:textId="0E474CFE" w:rsidR="00CF670C" w:rsidRDefault="00CF670C" w:rsidP="00CF670C">
      <w:pPr>
        <w:ind w:left="1440" w:hanging="1440"/>
        <w:jc w:val="both"/>
        <w:rPr>
          <w:rFonts w:ascii="Arial" w:hAnsi="Arial" w:cs="Arial"/>
          <w:b/>
          <w:bCs/>
          <w:lang w:val="en-US"/>
        </w:rPr>
      </w:pPr>
    </w:p>
    <w:p w14:paraId="60617554" w14:textId="798D80F4" w:rsidR="00CF670C" w:rsidRDefault="00CF670C" w:rsidP="00CF670C">
      <w:pPr>
        <w:ind w:left="1440" w:hanging="1440"/>
        <w:jc w:val="both"/>
        <w:rPr>
          <w:rFonts w:ascii="Arial" w:hAnsi="Arial" w:cs="Arial"/>
          <w:b/>
          <w:bCs/>
          <w:lang w:val="en-US"/>
        </w:rPr>
      </w:pPr>
      <w:r>
        <w:rPr>
          <w:rFonts w:ascii="Arial" w:hAnsi="Arial" w:cs="Arial"/>
          <w:b/>
          <w:bCs/>
          <w:lang w:val="en-US"/>
        </w:rPr>
        <w:t>DATE:</w:t>
      </w:r>
      <w:r>
        <w:rPr>
          <w:rFonts w:ascii="Arial" w:hAnsi="Arial" w:cs="Arial"/>
          <w:b/>
          <w:bCs/>
          <w:lang w:val="en-US"/>
        </w:rPr>
        <w:tab/>
      </w:r>
      <w:r w:rsidR="00692286">
        <w:rPr>
          <w:rFonts w:ascii="Arial" w:hAnsi="Arial" w:cs="Arial"/>
          <w:b/>
          <w:bCs/>
          <w:lang w:val="en-US"/>
        </w:rPr>
        <w:t>1</w:t>
      </w:r>
      <w:r w:rsidR="00B817EF">
        <w:rPr>
          <w:rFonts w:ascii="Arial" w:hAnsi="Arial" w:cs="Arial"/>
          <w:b/>
          <w:bCs/>
          <w:lang w:val="en-US"/>
        </w:rPr>
        <w:t>2</w:t>
      </w:r>
      <w:r w:rsidRPr="00CF670C">
        <w:rPr>
          <w:rFonts w:ascii="Arial" w:hAnsi="Arial" w:cs="Arial"/>
          <w:b/>
          <w:bCs/>
          <w:vertAlign w:val="superscript"/>
          <w:lang w:val="en-US"/>
        </w:rPr>
        <w:t>th</w:t>
      </w:r>
      <w:r>
        <w:rPr>
          <w:rFonts w:ascii="Arial" w:hAnsi="Arial" w:cs="Arial"/>
          <w:b/>
          <w:bCs/>
          <w:lang w:val="en-US"/>
        </w:rPr>
        <w:t xml:space="preserve"> </w:t>
      </w:r>
      <w:r w:rsidR="00B817EF">
        <w:rPr>
          <w:rFonts w:ascii="Arial" w:hAnsi="Arial" w:cs="Arial"/>
          <w:b/>
          <w:bCs/>
          <w:lang w:val="en-US"/>
        </w:rPr>
        <w:t>December</w:t>
      </w:r>
      <w:r w:rsidR="00692286">
        <w:rPr>
          <w:rFonts w:ascii="Arial" w:hAnsi="Arial" w:cs="Arial"/>
          <w:b/>
          <w:bCs/>
          <w:lang w:val="en-US"/>
        </w:rPr>
        <w:t xml:space="preserve"> </w:t>
      </w:r>
      <w:r>
        <w:rPr>
          <w:rFonts w:ascii="Arial" w:hAnsi="Arial" w:cs="Arial"/>
          <w:b/>
          <w:bCs/>
          <w:lang w:val="en-US"/>
        </w:rPr>
        <w:t>202</w:t>
      </w:r>
      <w:r w:rsidR="00692286">
        <w:rPr>
          <w:rFonts w:ascii="Arial" w:hAnsi="Arial" w:cs="Arial"/>
          <w:b/>
          <w:bCs/>
          <w:lang w:val="en-US"/>
        </w:rPr>
        <w:t>4</w:t>
      </w:r>
    </w:p>
    <w:p w14:paraId="2BB4AA2E" w14:textId="77777777" w:rsidR="00957E14" w:rsidRPr="001A588D" w:rsidRDefault="00957E14" w:rsidP="001A588D">
      <w:pPr>
        <w:jc w:val="both"/>
        <w:rPr>
          <w:rFonts w:ascii="Arial" w:hAnsi="Arial" w:cs="Arial"/>
          <w:i/>
          <w:lang w:val="en-US"/>
        </w:rPr>
      </w:pPr>
    </w:p>
    <w:p w14:paraId="46F43B93" w14:textId="1A36247F" w:rsidR="001A588D" w:rsidRDefault="001A588D" w:rsidP="001A588D">
      <w:pPr>
        <w:jc w:val="both"/>
        <w:rPr>
          <w:rFonts w:ascii="Arial" w:hAnsi="Arial" w:cs="Arial"/>
          <w:i/>
          <w:sz w:val="22"/>
          <w:szCs w:val="22"/>
          <w:lang w:val="en-US"/>
        </w:rPr>
      </w:pPr>
      <w:r w:rsidRPr="009310CA">
        <w:rPr>
          <w:rFonts w:ascii="Arial" w:hAnsi="Arial" w:cs="Arial"/>
          <w:i/>
          <w:sz w:val="22"/>
          <w:szCs w:val="22"/>
          <w:lang w:val="en-US"/>
        </w:rPr>
        <w:t>Report written and submitted by:</w:t>
      </w:r>
      <w:r w:rsidR="00B817EF">
        <w:rPr>
          <w:rFonts w:ascii="Arial" w:hAnsi="Arial" w:cs="Arial"/>
          <w:i/>
          <w:sz w:val="22"/>
          <w:szCs w:val="22"/>
          <w:lang w:val="en-US"/>
        </w:rPr>
        <w:t xml:space="preserve"> Gemma Wasley, BGCBC</w:t>
      </w:r>
      <w:r w:rsidR="009E3133">
        <w:rPr>
          <w:rFonts w:ascii="Arial" w:hAnsi="Arial" w:cs="Arial"/>
          <w:i/>
          <w:sz w:val="22"/>
          <w:szCs w:val="22"/>
          <w:lang w:val="en-US"/>
        </w:rPr>
        <w:t xml:space="preserve"> </w:t>
      </w:r>
    </w:p>
    <w:p w14:paraId="0ECF3565" w14:textId="77777777" w:rsidR="00167A84" w:rsidRPr="009310CA" w:rsidRDefault="00167A84" w:rsidP="001A588D">
      <w:pPr>
        <w:jc w:val="both"/>
        <w:rPr>
          <w:rFonts w:ascii="Arial" w:hAnsi="Arial" w:cs="Arial"/>
          <w:i/>
          <w:sz w:val="22"/>
          <w:szCs w:val="22"/>
          <w:lang w:val="en-US"/>
        </w:rPr>
      </w:pPr>
    </w:p>
    <w:p w14:paraId="0A879B30" w14:textId="77777777" w:rsidR="00866B8E" w:rsidRPr="009310CA" w:rsidRDefault="00866B8E" w:rsidP="00866B8E">
      <w:pPr>
        <w:jc w:val="both"/>
        <w:rPr>
          <w:rFonts w:ascii="Arial" w:hAnsi="Arial" w:cs="Arial"/>
          <w:sz w:val="22"/>
          <w:szCs w:val="22"/>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8706"/>
      </w:tblGrid>
      <w:tr w:rsidR="007D4909" w:rsidRPr="001A588D" w14:paraId="6F20AEE6" w14:textId="77777777" w:rsidTr="00CF670C">
        <w:tc>
          <w:tcPr>
            <w:tcW w:w="645" w:type="dxa"/>
          </w:tcPr>
          <w:p w14:paraId="722CCBF1" w14:textId="6B351E4C" w:rsidR="001A588D" w:rsidRPr="001A588D" w:rsidRDefault="001A588D">
            <w:pPr>
              <w:rPr>
                <w:rFonts w:ascii="Arial" w:hAnsi="Arial" w:cs="Arial"/>
                <w:b/>
                <w:bCs/>
              </w:rPr>
            </w:pPr>
            <w:r w:rsidRPr="001A588D">
              <w:rPr>
                <w:rFonts w:ascii="Arial" w:hAnsi="Arial" w:cs="Arial"/>
                <w:b/>
                <w:bCs/>
              </w:rPr>
              <w:t>1</w:t>
            </w:r>
          </w:p>
        </w:tc>
        <w:tc>
          <w:tcPr>
            <w:tcW w:w="8706" w:type="dxa"/>
          </w:tcPr>
          <w:p w14:paraId="3B98C740" w14:textId="00E4092D" w:rsidR="001A588D" w:rsidRPr="001A588D" w:rsidRDefault="001A588D">
            <w:pPr>
              <w:rPr>
                <w:rFonts w:ascii="Arial" w:hAnsi="Arial" w:cs="Arial"/>
                <w:b/>
                <w:bCs/>
              </w:rPr>
            </w:pPr>
            <w:r w:rsidRPr="001A588D">
              <w:rPr>
                <w:rFonts w:ascii="Arial" w:hAnsi="Arial" w:cs="Arial"/>
                <w:b/>
                <w:bCs/>
              </w:rPr>
              <w:t>Areas Affected</w:t>
            </w:r>
          </w:p>
        </w:tc>
      </w:tr>
      <w:tr w:rsidR="007D4909" w:rsidRPr="001A588D" w14:paraId="6B467C1A" w14:textId="77777777" w:rsidTr="00CF670C">
        <w:tc>
          <w:tcPr>
            <w:tcW w:w="645" w:type="dxa"/>
          </w:tcPr>
          <w:p w14:paraId="53E2A6CA" w14:textId="77777777" w:rsidR="001A588D" w:rsidRPr="001A588D" w:rsidRDefault="001A588D">
            <w:pPr>
              <w:rPr>
                <w:rFonts w:ascii="Arial" w:hAnsi="Arial" w:cs="Arial"/>
              </w:rPr>
            </w:pPr>
          </w:p>
        </w:tc>
        <w:tc>
          <w:tcPr>
            <w:tcW w:w="8706" w:type="dxa"/>
          </w:tcPr>
          <w:p w14:paraId="39256954" w14:textId="77777777" w:rsidR="001A588D" w:rsidRPr="001A588D" w:rsidRDefault="001A588D">
            <w:pPr>
              <w:rPr>
                <w:rFonts w:ascii="Arial" w:hAnsi="Arial" w:cs="Arial"/>
              </w:rPr>
            </w:pPr>
          </w:p>
        </w:tc>
      </w:tr>
      <w:tr w:rsidR="007D4909" w:rsidRPr="001A588D" w14:paraId="7C80812C" w14:textId="77777777" w:rsidTr="00CF670C">
        <w:tc>
          <w:tcPr>
            <w:tcW w:w="645" w:type="dxa"/>
          </w:tcPr>
          <w:p w14:paraId="1B7A45D7" w14:textId="7506A9F4" w:rsidR="001A588D" w:rsidRPr="001A588D" w:rsidRDefault="001A588D">
            <w:pPr>
              <w:rPr>
                <w:rFonts w:ascii="Arial" w:hAnsi="Arial" w:cs="Arial"/>
              </w:rPr>
            </w:pPr>
            <w:r w:rsidRPr="003F0B5F">
              <w:rPr>
                <w:rFonts w:ascii="Arial" w:hAnsi="Arial" w:cs="Arial"/>
                <w:sz w:val="22"/>
                <w:szCs w:val="22"/>
              </w:rPr>
              <w:t>1.1</w:t>
            </w:r>
          </w:p>
        </w:tc>
        <w:tc>
          <w:tcPr>
            <w:tcW w:w="8706" w:type="dxa"/>
          </w:tcPr>
          <w:p w14:paraId="3CD618C1" w14:textId="1D253E09" w:rsidR="001A588D" w:rsidRPr="00B92A78" w:rsidRDefault="00DE4A49" w:rsidP="007657A5">
            <w:pPr>
              <w:rPr>
                <w:rFonts w:ascii="Arial" w:hAnsi="Arial" w:cs="Arial"/>
              </w:rPr>
            </w:pPr>
            <w:r w:rsidRPr="00B92A78">
              <w:rPr>
                <w:rFonts w:ascii="Arial" w:hAnsi="Arial" w:cs="Arial"/>
              </w:rPr>
              <w:t>All Local Authority areas of Gwent have Member representation on the Gwent Public Services Board Scrutiny Committee and partner organisations: South Wales Fire and Rescue Service, Gwent Voluntary Organisations and Aneurin Bevan University Health Board.</w:t>
            </w:r>
          </w:p>
        </w:tc>
      </w:tr>
      <w:tr w:rsidR="007D4909" w:rsidRPr="001A588D" w14:paraId="0A9740D9" w14:textId="77777777" w:rsidTr="00CF670C">
        <w:tc>
          <w:tcPr>
            <w:tcW w:w="645" w:type="dxa"/>
          </w:tcPr>
          <w:p w14:paraId="2F3BA0BC" w14:textId="77777777" w:rsidR="001A588D" w:rsidRPr="001A588D" w:rsidRDefault="001A588D">
            <w:pPr>
              <w:rPr>
                <w:rFonts w:ascii="Arial" w:hAnsi="Arial" w:cs="Arial"/>
              </w:rPr>
            </w:pPr>
          </w:p>
        </w:tc>
        <w:tc>
          <w:tcPr>
            <w:tcW w:w="8706" w:type="dxa"/>
          </w:tcPr>
          <w:p w14:paraId="1D9224B7" w14:textId="77777777" w:rsidR="001A588D" w:rsidRPr="00B92A78" w:rsidRDefault="001A588D">
            <w:pPr>
              <w:rPr>
                <w:rFonts w:ascii="Arial" w:hAnsi="Arial" w:cs="Arial"/>
              </w:rPr>
            </w:pPr>
          </w:p>
        </w:tc>
      </w:tr>
      <w:tr w:rsidR="007D4909" w:rsidRPr="001A588D" w14:paraId="5FB9EEBA" w14:textId="77777777" w:rsidTr="00CF670C">
        <w:tc>
          <w:tcPr>
            <w:tcW w:w="645" w:type="dxa"/>
          </w:tcPr>
          <w:p w14:paraId="31ED8A43" w14:textId="0517556E" w:rsidR="001A588D" w:rsidRPr="001A588D" w:rsidRDefault="001A588D">
            <w:pPr>
              <w:rPr>
                <w:rFonts w:ascii="Arial" w:hAnsi="Arial" w:cs="Arial"/>
                <w:b/>
                <w:bCs/>
              </w:rPr>
            </w:pPr>
            <w:r>
              <w:rPr>
                <w:rFonts w:ascii="Arial" w:hAnsi="Arial" w:cs="Arial"/>
                <w:b/>
                <w:bCs/>
              </w:rPr>
              <w:t>2</w:t>
            </w:r>
          </w:p>
        </w:tc>
        <w:tc>
          <w:tcPr>
            <w:tcW w:w="8706" w:type="dxa"/>
          </w:tcPr>
          <w:p w14:paraId="00DE0030" w14:textId="64F2E608" w:rsidR="001A588D" w:rsidRPr="00B92A78" w:rsidRDefault="001A588D" w:rsidP="007657A5">
            <w:pPr>
              <w:rPr>
                <w:rFonts w:ascii="Arial" w:hAnsi="Arial" w:cs="Arial"/>
                <w:b/>
                <w:bCs/>
              </w:rPr>
            </w:pPr>
            <w:r w:rsidRPr="00B92A78">
              <w:rPr>
                <w:rFonts w:ascii="Arial" w:hAnsi="Arial" w:cs="Arial"/>
                <w:b/>
                <w:bCs/>
              </w:rPr>
              <w:t>Purpose of Report</w:t>
            </w:r>
            <w:r w:rsidR="00866B8E" w:rsidRPr="00B92A78">
              <w:rPr>
                <w:rFonts w:ascii="Arial" w:hAnsi="Arial" w:cs="Arial"/>
                <w:b/>
                <w:bCs/>
              </w:rPr>
              <w:t xml:space="preserve"> </w:t>
            </w:r>
          </w:p>
        </w:tc>
      </w:tr>
      <w:tr w:rsidR="007D4909" w:rsidRPr="001A588D" w14:paraId="4ADCF351" w14:textId="77777777" w:rsidTr="00CF670C">
        <w:tc>
          <w:tcPr>
            <w:tcW w:w="645" w:type="dxa"/>
          </w:tcPr>
          <w:p w14:paraId="2C36D674" w14:textId="77777777" w:rsidR="001A588D" w:rsidRDefault="001A588D">
            <w:pPr>
              <w:rPr>
                <w:rFonts w:ascii="Arial" w:hAnsi="Arial" w:cs="Arial"/>
                <w:b/>
                <w:bCs/>
              </w:rPr>
            </w:pPr>
          </w:p>
        </w:tc>
        <w:tc>
          <w:tcPr>
            <w:tcW w:w="8706" w:type="dxa"/>
          </w:tcPr>
          <w:p w14:paraId="4ECDDE7B" w14:textId="77777777" w:rsidR="001A588D" w:rsidRPr="00B92A78" w:rsidRDefault="001A588D" w:rsidP="0045777C">
            <w:pPr>
              <w:rPr>
                <w:rFonts w:ascii="Arial" w:hAnsi="Arial" w:cs="Arial"/>
              </w:rPr>
            </w:pPr>
          </w:p>
        </w:tc>
      </w:tr>
      <w:tr w:rsidR="007D4909" w:rsidRPr="001A588D" w14:paraId="29B3E913" w14:textId="77777777" w:rsidTr="00CF670C">
        <w:tc>
          <w:tcPr>
            <w:tcW w:w="645" w:type="dxa"/>
          </w:tcPr>
          <w:p w14:paraId="1A5CA132" w14:textId="4069AA43" w:rsidR="001A588D" w:rsidRPr="001A588D" w:rsidRDefault="001A588D">
            <w:pPr>
              <w:rPr>
                <w:rFonts w:ascii="Arial" w:hAnsi="Arial" w:cs="Arial"/>
              </w:rPr>
            </w:pPr>
            <w:r w:rsidRPr="003F0B5F">
              <w:rPr>
                <w:rFonts w:ascii="Arial" w:hAnsi="Arial" w:cs="Arial"/>
                <w:sz w:val="22"/>
                <w:szCs w:val="22"/>
              </w:rPr>
              <w:t>2.1</w:t>
            </w:r>
          </w:p>
        </w:tc>
        <w:tc>
          <w:tcPr>
            <w:tcW w:w="8706" w:type="dxa"/>
          </w:tcPr>
          <w:p w14:paraId="6EA0CBB6" w14:textId="448C7D0B" w:rsidR="00E93A51" w:rsidRPr="00B92A78" w:rsidRDefault="00024BA3" w:rsidP="00866B8E">
            <w:pPr>
              <w:rPr>
                <w:rFonts w:ascii="Arial" w:hAnsi="Arial" w:cs="Arial"/>
              </w:rPr>
            </w:pPr>
            <w:r w:rsidRPr="00F45712">
              <w:rPr>
                <w:rFonts w:ascii="Arial" w:hAnsi="Arial" w:cs="Arial"/>
              </w:rPr>
              <w:t>The purpose of the report is to</w:t>
            </w:r>
            <w:r>
              <w:rPr>
                <w:rFonts w:ascii="Arial" w:hAnsi="Arial" w:cs="Arial"/>
              </w:rPr>
              <w:t xml:space="preserve"> outline approach for the funding that supports the on-going </w:t>
            </w:r>
            <w:r w:rsidRPr="009767D7">
              <w:rPr>
                <w:rFonts w:ascii="Arial" w:hAnsi="Arial" w:cs="Arial"/>
              </w:rPr>
              <w:t>development, operation, and administration of the Regional PSB Scrutiny Committee</w:t>
            </w:r>
            <w:r>
              <w:rPr>
                <w:rFonts w:ascii="Arial" w:hAnsi="Arial" w:cs="Arial"/>
              </w:rPr>
              <w:t>.</w:t>
            </w:r>
          </w:p>
        </w:tc>
      </w:tr>
      <w:tr w:rsidR="006E0646" w:rsidRPr="001A588D" w14:paraId="6E183901" w14:textId="77777777" w:rsidTr="00CF670C">
        <w:tc>
          <w:tcPr>
            <w:tcW w:w="645" w:type="dxa"/>
          </w:tcPr>
          <w:p w14:paraId="68752036" w14:textId="77777777" w:rsidR="006E0646" w:rsidRDefault="006E0646">
            <w:pPr>
              <w:rPr>
                <w:rFonts w:ascii="Arial" w:hAnsi="Arial" w:cs="Arial"/>
              </w:rPr>
            </w:pPr>
          </w:p>
        </w:tc>
        <w:tc>
          <w:tcPr>
            <w:tcW w:w="8706" w:type="dxa"/>
          </w:tcPr>
          <w:p w14:paraId="7061AC34" w14:textId="77777777" w:rsidR="006E0646" w:rsidRPr="00B92A78" w:rsidRDefault="006E0646" w:rsidP="006E0646">
            <w:pPr>
              <w:rPr>
                <w:rFonts w:ascii="Arial" w:hAnsi="Arial" w:cs="Arial"/>
              </w:rPr>
            </w:pPr>
          </w:p>
        </w:tc>
      </w:tr>
      <w:tr w:rsidR="007D4909" w:rsidRPr="001A588D" w14:paraId="2A46ECA0" w14:textId="77777777" w:rsidTr="00CF670C">
        <w:tc>
          <w:tcPr>
            <w:tcW w:w="645" w:type="dxa"/>
          </w:tcPr>
          <w:p w14:paraId="08FF8E60" w14:textId="2BB97702" w:rsidR="00917F67" w:rsidRPr="00917F67" w:rsidRDefault="00917F67">
            <w:pPr>
              <w:rPr>
                <w:rFonts w:ascii="Arial" w:hAnsi="Arial" w:cs="Arial"/>
                <w:b/>
                <w:bCs/>
              </w:rPr>
            </w:pPr>
            <w:r>
              <w:rPr>
                <w:rFonts w:ascii="Arial" w:hAnsi="Arial" w:cs="Arial"/>
                <w:b/>
                <w:bCs/>
              </w:rPr>
              <w:t>3</w:t>
            </w:r>
          </w:p>
        </w:tc>
        <w:tc>
          <w:tcPr>
            <w:tcW w:w="8706" w:type="dxa"/>
          </w:tcPr>
          <w:p w14:paraId="4F05BD95" w14:textId="22F6BA98" w:rsidR="00917F67" w:rsidRPr="00B92A78" w:rsidRDefault="00917F67">
            <w:pPr>
              <w:rPr>
                <w:rFonts w:ascii="Arial" w:hAnsi="Arial" w:cs="Arial"/>
                <w:b/>
                <w:bCs/>
              </w:rPr>
            </w:pPr>
            <w:r w:rsidRPr="00B92A78">
              <w:rPr>
                <w:rFonts w:ascii="Arial" w:hAnsi="Arial" w:cs="Arial"/>
                <w:b/>
                <w:bCs/>
              </w:rPr>
              <w:t>Background</w:t>
            </w:r>
          </w:p>
        </w:tc>
      </w:tr>
      <w:tr w:rsidR="007D4909" w:rsidRPr="001A588D" w14:paraId="75F3FEE4" w14:textId="77777777" w:rsidTr="00CF670C">
        <w:tc>
          <w:tcPr>
            <w:tcW w:w="645" w:type="dxa"/>
          </w:tcPr>
          <w:p w14:paraId="257AC0C1" w14:textId="77777777" w:rsidR="003F0B5F" w:rsidRDefault="003F0B5F">
            <w:pPr>
              <w:rPr>
                <w:rFonts w:ascii="Arial" w:hAnsi="Arial" w:cs="Arial"/>
                <w:b/>
                <w:bCs/>
              </w:rPr>
            </w:pPr>
          </w:p>
        </w:tc>
        <w:tc>
          <w:tcPr>
            <w:tcW w:w="8706" w:type="dxa"/>
          </w:tcPr>
          <w:p w14:paraId="71416CB3" w14:textId="77777777" w:rsidR="003F0B5F" w:rsidRPr="00B92A78" w:rsidRDefault="003F0B5F">
            <w:pPr>
              <w:rPr>
                <w:rFonts w:ascii="Arial" w:hAnsi="Arial" w:cs="Arial"/>
                <w:b/>
                <w:bCs/>
              </w:rPr>
            </w:pPr>
          </w:p>
        </w:tc>
      </w:tr>
      <w:tr w:rsidR="00024BA3" w:rsidRPr="001A588D" w14:paraId="56B1063B" w14:textId="77777777" w:rsidTr="00CF670C">
        <w:tc>
          <w:tcPr>
            <w:tcW w:w="645" w:type="dxa"/>
          </w:tcPr>
          <w:p w14:paraId="4CD26BDF" w14:textId="7340BFBA" w:rsidR="00024BA3" w:rsidRPr="003F0B5F" w:rsidRDefault="00024BA3" w:rsidP="00024BA3">
            <w:pPr>
              <w:rPr>
                <w:rFonts w:ascii="Arial" w:hAnsi="Arial" w:cs="Arial"/>
              </w:rPr>
            </w:pPr>
            <w:r w:rsidRPr="003F0B5F">
              <w:rPr>
                <w:rFonts w:ascii="Arial" w:hAnsi="Arial" w:cs="Arial"/>
                <w:sz w:val="22"/>
                <w:szCs w:val="22"/>
              </w:rPr>
              <w:t>3.1</w:t>
            </w:r>
          </w:p>
        </w:tc>
        <w:tc>
          <w:tcPr>
            <w:tcW w:w="8706" w:type="dxa"/>
          </w:tcPr>
          <w:p w14:paraId="3F811936" w14:textId="43D884C6" w:rsidR="00024BA3" w:rsidRPr="00B92A78" w:rsidRDefault="00024BA3" w:rsidP="00024BA3">
            <w:pPr>
              <w:pStyle w:val="NormalWeb"/>
              <w:rPr>
                <w:rFonts w:ascii="Arial" w:hAnsi="Arial" w:cs="Arial"/>
                <w:color w:val="000000" w:themeColor="text1"/>
              </w:rPr>
            </w:pPr>
            <w:r w:rsidRPr="00B92A78">
              <w:rPr>
                <w:rFonts w:ascii="Arial" w:hAnsi="Arial" w:cs="Arial"/>
                <w:color w:val="000000" w:themeColor="text1"/>
              </w:rPr>
              <w:t>In September 2022, the Public Services Board agreed to establish regional scrutiny arrangements to review and scrutinise the work of the Gwent Public Services Board.</w:t>
            </w:r>
          </w:p>
        </w:tc>
      </w:tr>
      <w:tr w:rsidR="00024BA3" w:rsidRPr="001A588D" w14:paraId="77581B79" w14:textId="77777777" w:rsidTr="00CF670C">
        <w:tc>
          <w:tcPr>
            <w:tcW w:w="645" w:type="dxa"/>
          </w:tcPr>
          <w:p w14:paraId="3156C48A" w14:textId="77777777" w:rsidR="00024BA3" w:rsidRPr="003F0B5F" w:rsidRDefault="00024BA3" w:rsidP="00024BA3">
            <w:pPr>
              <w:rPr>
                <w:rFonts w:ascii="Arial" w:hAnsi="Arial" w:cs="Arial"/>
                <w:sz w:val="22"/>
                <w:szCs w:val="22"/>
              </w:rPr>
            </w:pPr>
          </w:p>
        </w:tc>
        <w:tc>
          <w:tcPr>
            <w:tcW w:w="8706" w:type="dxa"/>
          </w:tcPr>
          <w:p w14:paraId="68BEB5FA" w14:textId="77777777" w:rsidR="00024BA3" w:rsidRPr="00B92A78" w:rsidRDefault="00024BA3" w:rsidP="00024BA3">
            <w:pPr>
              <w:pStyle w:val="NormalWeb"/>
              <w:rPr>
                <w:rFonts w:ascii="Arial" w:hAnsi="Arial" w:cs="Arial"/>
                <w:color w:val="000000" w:themeColor="text1"/>
              </w:rPr>
            </w:pPr>
          </w:p>
        </w:tc>
      </w:tr>
      <w:tr w:rsidR="000B428D" w:rsidRPr="001A588D" w14:paraId="5913CED8" w14:textId="77777777" w:rsidTr="00CF670C">
        <w:tc>
          <w:tcPr>
            <w:tcW w:w="645" w:type="dxa"/>
          </w:tcPr>
          <w:p w14:paraId="2C2D3060" w14:textId="20E0E18F" w:rsidR="000B428D" w:rsidRPr="003F0B5F" w:rsidRDefault="0002537B" w:rsidP="00024BA3">
            <w:pPr>
              <w:rPr>
                <w:rFonts w:ascii="Arial" w:hAnsi="Arial" w:cs="Arial"/>
                <w:sz w:val="22"/>
                <w:szCs w:val="22"/>
              </w:rPr>
            </w:pPr>
            <w:r>
              <w:rPr>
                <w:rFonts w:ascii="Arial" w:hAnsi="Arial" w:cs="Arial"/>
                <w:sz w:val="22"/>
                <w:szCs w:val="22"/>
              </w:rPr>
              <w:t>3.2</w:t>
            </w:r>
          </w:p>
        </w:tc>
        <w:tc>
          <w:tcPr>
            <w:tcW w:w="8706" w:type="dxa"/>
          </w:tcPr>
          <w:p w14:paraId="5CA5A0B9" w14:textId="301512FE" w:rsidR="000B428D" w:rsidRPr="00B92A78" w:rsidRDefault="000B428D" w:rsidP="00024BA3">
            <w:pPr>
              <w:pStyle w:val="NormalWeb"/>
              <w:rPr>
                <w:rFonts w:ascii="Arial" w:hAnsi="Arial" w:cs="Arial"/>
                <w:color w:val="000000" w:themeColor="text1"/>
              </w:rPr>
            </w:pPr>
            <w:r>
              <w:rPr>
                <w:rFonts w:ascii="Arial" w:hAnsi="Arial" w:cs="Arial"/>
              </w:rPr>
              <w:t xml:space="preserve">It was </w:t>
            </w:r>
            <w:r w:rsidR="0002537B">
              <w:rPr>
                <w:rFonts w:ascii="Arial" w:hAnsi="Arial" w:cs="Arial"/>
              </w:rPr>
              <w:t xml:space="preserve">also </w:t>
            </w:r>
            <w:r>
              <w:rPr>
                <w:rFonts w:ascii="Arial" w:hAnsi="Arial" w:cs="Arial"/>
              </w:rPr>
              <w:t xml:space="preserve">agreed for Blaenau Gwent Council to act as the lead organisation to facilitate committee support, </w:t>
            </w:r>
            <w:r w:rsidRPr="003F0DFC">
              <w:rPr>
                <w:rFonts w:ascii="Arial" w:hAnsi="Arial" w:cs="Arial"/>
              </w:rPr>
              <w:t xml:space="preserve">with each other statutory partner organisation identifying a liaison Single Point of Conduct (SPOC) to interact with </w:t>
            </w:r>
            <w:r>
              <w:rPr>
                <w:rFonts w:ascii="Arial" w:hAnsi="Arial" w:cs="Arial"/>
              </w:rPr>
              <w:t>Blaenau Gwent.</w:t>
            </w:r>
          </w:p>
        </w:tc>
      </w:tr>
      <w:tr w:rsidR="000B428D" w:rsidRPr="001A588D" w14:paraId="76735D45" w14:textId="77777777" w:rsidTr="00CF670C">
        <w:tc>
          <w:tcPr>
            <w:tcW w:w="645" w:type="dxa"/>
          </w:tcPr>
          <w:p w14:paraId="61ED560F" w14:textId="77777777" w:rsidR="000B428D" w:rsidRPr="003F0B5F" w:rsidRDefault="000B428D" w:rsidP="00024BA3">
            <w:pPr>
              <w:rPr>
                <w:rFonts w:ascii="Arial" w:hAnsi="Arial" w:cs="Arial"/>
                <w:sz w:val="22"/>
                <w:szCs w:val="22"/>
              </w:rPr>
            </w:pPr>
          </w:p>
        </w:tc>
        <w:tc>
          <w:tcPr>
            <w:tcW w:w="8706" w:type="dxa"/>
          </w:tcPr>
          <w:p w14:paraId="690B6D77" w14:textId="77777777" w:rsidR="000B428D" w:rsidRPr="00B92A78" w:rsidRDefault="000B428D" w:rsidP="00024BA3">
            <w:pPr>
              <w:pStyle w:val="NormalWeb"/>
              <w:rPr>
                <w:rFonts w:ascii="Arial" w:hAnsi="Arial" w:cs="Arial"/>
                <w:color w:val="000000" w:themeColor="text1"/>
              </w:rPr>
            </w:pPr>
          </w:p>
        </w:tc>
      </w:tr>
      <w:tr w:rsidR="00024BA3" w:rsidRPr="001A588D" w14:paraId="2984DB5A" w14:textId="77777777" w:rsidTr="00AC721D">
        <w:trPr>
          <w:trHeight w:val="3022"/>
        </w:trPr>
        <w:tc>
          <w:tcPr>
            <w:tcW w:w="645" w:type="dxa"/>
          </w:tcPr>
          <w:p w14:paraId="3AAC5FBB" w14:textId="77777777" w:rsidR="00AC721D" w:rsidRDefault="00024BA3" w:rsidP="00AC721D">
            <w:pPr>
              <w:rPr>
                <w:rFonts w:ascii="Arial" w:hAnsi="Arial" w:cs="Arial"/>
              </w:rPr>
            </w:pPr>
            <w:r w:rsidRPr="00AC721D">
              <w:rPr>
                <w:rFonts w:ascii="Arial" w:hAnsi="Arial" w:cs="Arial"/>
              </w:rPr>
              <w:t>3.2</w:t>
            </w:r>
          </w:p>
          <w:p w14:paraId="3EE793FB" w14:textId="77777777" w:rsidR="00AC721D" w:rsidRDefault="00AC721D" w:rsidP="00AC721D">
            <w:pPr>
              <w:rPr>
                <w:rFonts w:ascii="Arial" w:hAnsi="Arial" w:cs="Arial"/>
              </w:rPr>
            </w:pPr>
          </w:p>
          <w:p w14:paraId="0249B627" w14:textId="77777777" w:rsidR="00AC721D" w:rsidRDefault="00AC721D" w:rsidP="00AC721D">
            <w:pPr>
              <w:rPr>
                <w:rFonts w:ascii="Arial" w:hAnsi="Arial" w:cs="Arial"/>
              </w:rPr>
            </w:pPr>
          </w:p>
          <w:p w14:paraId="31C21C20" w14:textId="77777777" w:rsidR="00AC721D" w:rsidRDefault="00AC721D" w:rsidP="00AC721D">
            <w:pPr>
              <w:rPr>
                <w:rFonts w:ascii="Arial" w:hAnsi="Arial" w:cs="Arial"/>
              </w:rPr>
            </w:pPr>
          </w:p>
          <w:p w14:paraId="53F40A13" w14:textId="77777777" w:rsidR="00AC721D" w:rsidRDefault="00AC721D" w:rsidP="00AC721D">
            <w:pPr>
              <w:rPr>
                <w:rFonts w:ascii="Arial" w:hAnsi="Arial" w:cs="Arial"/>
              </w:rPr>
            </w:pPr>
          </w:p>
          <w:p w14:paraId="4F49DA13" w14:textId="77777777" w:rsidR="00AC721D" w:rsidRDefault="00AC721D" w:rsidP="00AC721D">
            <w:pPr>
              <w:rPr>
                <w:rFonts w:ascii="Arial" w:hAnsi="Arial" w:cs="Arial"/>
              </w:rPr>
            </w:pPr>
          </w:p>
          <w:p w14:paraId="33C0C178" w14:textId="77777777" w:rsidR="00AC721D" w:rsidRDefault="00AC721D" w:rsidP="00AC721D">
            <w:pPr>
              <w:rPr>
                <w:rFonts w:ascii="Arial" w:hAnsi="Arial" w:cs="Arial"/>
              </w:rPr>
            </w:pPr>
          </w:p>
          <w:p w14:paraId="7719F122" w14:textId="77777777" w:rsidR="00AC721D" w:rsidRDefault="00AC721D" w:rsidP="00AC721D">
            <w:pPr>
              <w:rPr>
                <w:rFonts w:ascii="Arial" w:hAnsi="Arial" w:cs="Arial"/>
              </w:rPr>
            </w:pPr>
          </w:p>
          <w:p w14:paraId="18E951D6" w14:textId="77777777" w:rsidR="00AC721D" w:rsidRDefault="00AC721D" w:rsidP="00AC721D">
            <w:pPr>
              <w:rPr>
                <w:rFonts w:ascii="Arial" w:hAnsi="Arial" w:cs="Arial"/>
              </w:rPr>
            </w:pPr>
          </w:p>
          <w:p w14:paraId="60E1A581" w14:textId="77777777" w:rsidR="00AC721D" w:rsidRDefault="00AC721D" w:rsidP="00AC721D">
            <w:pPr>
              <w:rPr>
                <w:rFonts w:ascii="Arial" w:hAnsi="Arial" w:cs="Arial"/>
              </w:rPr>
            </w:pPr>
          </w:p>
          <w:p w14:paraId="68CB5691" w14:textId="36CCAD08" w:rsidR="00AC721D" w:rsidRPr="00AC721D" w:rsidRDefault="00AC721D" w:rsidP="00AC721D">
            <w:pPr>
              <w:rPr>
                <w:rFonts w:ascii="Arial" w:hAnsi="Arial" w:cs="Arial"/>
              </w:rPr>
            </w:pPr>
          </w:p>
        </w:tc>
        <w:tc>
          <w:tcPr>
            <w:tcW w:w="8706" w:type="dxa"/>
          </w:tcPr>
          <w:p w14:paraId="29943A64" w14:textId="5D148B42" w:rsidR="001E4AA7" w:rsidRDefault="0002537B" w:rsidP="00AC721D">
            <w:pPr>
              <w:pStyle w:val="NormalWeb"/>
              <w:spacing w:before="0" w:beforeAutospacing="0" w:after="0" w:afterAutospacing="0"/>
              <w:rPr>
                <w:rFonts w:ascii="Arial" w:hAnsi="Arial" w:cs="Arial"/>
              </w:rPr>
            </w:pPr>
            <w:r>
              <w:rPr>
                <w:rFonts w:ascii="Arial" w:hAnsi="Arial" w:cs="Arial"/>
              </w:rPr>
              <w:t>Since the establishment of t</w:t>
            </w:r>
            <w:r w:rsidR="00024BA3" w:rsidRPr="00AC721D">
              <w:rPr>
                <w:rFonts w:ascii="Arial" w:hAnsi="Arial" w:cs="Arial"/>
              </w:rPr>
              <w:t xml:space="preserve">he Gwent Public Services Board Scrutiny Committee </w:t>
            </w:r>
            <w:r w:rsidR="001E4AA7" w:rsidRPr="00AC721D">
              <w:rPr>
                <w:rFonts w:ascii="Arial" w:hAnsi="Arial" w:cs="Arial"/>
              </w:rPr>
              <w:t>in January 2023</w:t>
            </w:r>
            <w:r>
              <w:rPr>
                <w:rFonts w:ascii="Arial" w:hAnsi="Arial" w:cs="Arial"/>
              </w:rPr>
              <w:t>, t</w:t>
            </w:r>
            <w:r w:rsidR="001E4AA7" w:rsidRPr="00AC721D">
              <w:rPr>
                <w:rFonts w:ascii="Arial" w:hAnsi="Arial" w:cs="Arial"/>
              </w:rPr>
              <w:t>he committee has held five meetings and one training session:</w:t>
            </w:r>
          </w:p>
          <w:p w14:paraId="287DB8C0" w14:textId="77777777" w:rsidR="00AC721D" w:rsidRPr="00AC721D" w:rsidRDefault="00AC721D" w:rsidP="00AC721D">
            <w:pPr>
              <w:pStyle w:val="NormalWeb"/>
              <w:spacing w:before="0" w:beforeAutospacing="0" w:after="0" w:afterAutospacing="0"/>
              <w:rPr>
                <w:rFonts w:ascii="Arial" w:hAnsi="Arial" w:cs="Arial"/>
              </w:rPr>
            </w:pPr>
          </w:p>
          <w:p w14:paraId="20646DC4" w14:textId="173F2275" w:rsidR="001E4AA7" w:rsidRPr="00AC721D" w:rsidRDefault="001E4AA7" w:rsidP="00AC721D">
            <w:pPr>
              <w:pStyle w:val="NormalWeb"/>
              <w:numPr>
                <w:ilvl w:val="0"/>
                <w:numId w:val="24"/>
              </w:numPr>
              <w:spacing w:before="0" w:beforeAutospacing="0" w:after="0" w:afterAutospacing="0"/>
              <w:rPr>
                <w:rFonts w:ascii="Arial" w:hAnsi="Arial" w:cs="Arial"/>
              </w:rPr>
            </w:pPr>
            <w:r w:rsidRPr="00AC721D">
              <w:rPr>
                <w:rFonts w:ascii="Arial" w:hAnsi="Arial" w:cs="Arial"/>
              </w:rPr>
              <w:t>29</w:t>
            </w:r>
            <w:r w:rsidRPr="00AC721D">
              <w:rPr>
                <w:rFonts w:ascii="Arial" w:hAnsi="Arial" w:cs="Arial"/>
                <w:vertAlign w:val="superscript"/>
              </w:rPr>
              <w:t>th</w:t>
            </w:r>
            <w:r w:rsidRPr="00AC721D">
              <w:rPr>
                <w:rFonts w:ascii="Arial" w:hAnsi="Arial" w:cs="Arial"/>
              </w:rPr>
              <w:t xml:space="preserve"> March 2023 (Training session)</w:t>
            </w:r>
          </w:p>
          <w:p w14:paraId="2BF1F77D" w14:textId="01C7A14C" w:rsidR="001E4AA7" w:rsidRPr="00AC721D" w:rsidRDefault="001E4AA7" w:rsidP="00AC721D">
            <w:pPr>
              <w:pStyle w:val="NormalWeb"/>
              <w:numPr>
                <w:ilvl w:val="0"/>
                <w:numId w:val="24"/>
              </w:numPr>
              <w:spacing w:before="0" w:beforeAutospacing="0" w:after="0" w:afterAutospacing="0"/>
              <w:rPr>
                <w:rFonts w:ascii="Arial" w:hAnsi="Arial" w:cs="Arial"/>
              </w:rPr>
            </w:pPr>
            <w:r w:rsidRPr="00AC721D">
              <w:rPr>
                <w:rFonts w:ascii="Arial" w:hAnsi="Arial" w:cs="Arial"/>
              </w:rPr>
              <w:t>29</w:t>
            </w:r>
            <w:r w:rsidRPr="00AC721D">
              <w:rPr>
                <w:rFonts w:ascii="Arial" w:hAnsi="Arial" w:cs="Arial"/>
                <w:vertAlign w:val="superscript"/>
              </w:rPr>
              <w:t>th</w:t>
            </w:r>
            <w:r w:rsidRPr="00AC721D">
              <w:rPr>
                <w:rFonts w:ascii="Arial" w:hAnsi="Arial" w:cs="Arial"/>
              </w:rPr>
              <w:t xml:space="preserve"> March 2023</w:t>
            </w:r>
            <w:r w:rsidR="00B96417">
              <w:rPr>
                <w:rFonts w:ascii="Arial" w:hAnsi="Arial" w:cs="Arial"/>
              </w:rPr>
              <w:t xml:space="preserve"> (Terms of Reference agreed</w:t>
            </w:r>
            <w:r w:rsidR="00D87CF0">
              <w:rPr>
                <w:rFonts w:ascii="Arial" w:hAnsi="Arial" w:cs="Arial"/>
              </w:rPr>
              <w:t xml:space="preserve"> – included</w:t>
            </w:r>
            <w:r w:rsidR="00B96417">
              <w:rPr>
                <w:rFonts w:ascii="Arial" w:hAnsi="Arial" w:cs="Arial"/>
              </w:rPr>
              <w:t xml:space="preserve"> at Appendix 1 for info)</w:t>
            </w:r>
          </w:p>
          <w:p w14:paraId="0DB78CA8" w14:textId="0B373E8F" w:rsidR="001E4AA7" w:rsidRPr="00AC721D" w:rsidRDefault="001E4AA7" w:rsidP="00AC721D">
            <w:pPr>
              <w:pStyle w:val="NormalWeb"/>
              <w:numPr>
                <w:ilvl w:val="0"/>
                <w:numId w:val="24"/>
              </w:numPr>
              <w:spacing w:before="0" w:beforeAutospacing="0" w:after="0" w:afterAutospacing="0"/>
              <w:rPr>
                <w:rFonts w:ascii="Arial" w:hAnsi="Arial" w:cs="Arial"/>
              </w:rPr>
            </w:pPr>
            <w:r w:rsidRPr="00AC721D">
              <w:rPr>
                <w:rFonts w:ascii="Arial" w:hAnsi="Arial" w:cs="Arial"/>
              </w:rPr>
              <w:t>7</w:t>
            </w:r>
            <w:r w:rsidRPr="00AC721D">
              <w:rPr>
                <w:rFonts w:ascii="Arial" w:hAnsi="Arial" w:cs="Arial"/>
                <w:vertAlign w:val="superscript"/>
              </w:rPr>
              <w:t>th</w:t>
            </w:r>
            <w:r w:rsidRPr="00AC721D">
              <w:rPr>
                <w:rFonts w:ascii="Arial" w:hAnsi="Arial" w:cs="Arial"/>
              </w:rPr>
              <w:t xml:space="preserve"> June 2023</w:t>
            </w:r>
          </w:p>
          <w:p w14:paraId="604F951D" w14:textId="4FA077FB" w:rsidR="001E4AA7" w:rsidRPr="00AC721D" w:rsidRDefault="001E4AA7" w:rsidP="00AC721D">
            <w:pPr>
              <w:pStyle w:val="NormalWeb"/>
              <w:numPr>
                <w:ilvl w:val="0"/>
                <w:numId w:val="24"/>
              </w:numPr>
              <w:spacing w:before="0" w:beforeAutospacing="0" w:after="0" w:afterAutospacing="0"/>
              <w:rPr>
                <w:rFonts w:ascii="Arial" w:hAnsi="Arial" w:cs="Arial"/>
              </w:rPr>
            </w:pPr>
            <w:r w:rsidRPr="00AC721D">
              <w:rPr>
                <w:rFonts w:ascii="Arial" w:hAnsi="Arial" w:cs="Arial"/>
              </w:rPr>
              <w:t>29</w:t>
            </w:r>
            <w:r w:rsidRPr="00AC721D">
              <w:rPr>
                <w:rFonts w:ascii="Arial" w:hAnsi="Arial" w:cs="Arial"/>
                <w:vertAlign w:val="superscript"/>
              </w:rPr>
              <w:t>th</w:t>
            </w:r>
            <w:r w:rsidRPr="00AC721D">
              <w:rPr>
                <w:rFonts w:ascii="Arial" w:hAnsi="Arial" w:cs="Arial"/>
              </w:rPr>
              <w:t xml:space="preserve"> November 2023</w:t>
            </w:r>
          </w:p>
          <w:p w14:paraId="03B7C245" w14:textId="3BE2BD56" w:rsidR="001E4AA7" w:rsidRPr="00AC721D" w:rsidRDefault="001E4AA7" w:rsidP="00AC721D">
            <w:pPr>
              <w:pStyle w:val="NormalWeb"/>
              <w:numPr>
                <w:ilvl w:val="0"/>
                <w:numId w:val="24"/>
              </w:numPr>
              <w:spacing w:before="0" w:beforeAutospacing="0" w:after="0" w:afterAutospacing="0"/>
              <w:rPr>
                <w:rFonts w:ascii="Arial" w:hAnsi="Arial" w:cs="Arial"/>
              </w:rPr>
            </w:pPr>
            <w:r w:rsidRPr="00AC721D">
              <w:rPr>
                <w:rFonts w:ascii="Arial" w:hAnsi="Arial" w:cs="Arial"/>
              </w:rPr>
              <w:t>17</w:t>
            </w:r>
            <w:r w:rsidRPr="00AC721D">
              <w:rPr>
                <w:rFonts w:ascii="Arial" w:hAnsi="Arial" w:cs="Arial"/>
                <w:vertAlign w:val="superscript"/>
              </w:rPr>
              <w:t>th</w:t>
            </w:r>
            <w:r w:rsidRPr="00AC721D">
              <w:rPr>
                <w:rFonts w:ascii="Arial" w:hAnsi="Arial" w:cs="Arial"/>
              </w:rPr>
              <w:t xml:space="preserve"> April 2024</w:t>
            </w:r>
          </w:p>
          <w:p w14:paraId="338E1F39" w14:textId="447C6E43" w:rsidR="001E4AA7" w:rsidRDefault="001E4AA7" w:rsidP="00AC721D">
            <w:pPr>
              <w:pStyle w:val="NormalWeb"/>
              <w:numPr>
                <w:ilvl w:val="0"/>
                <w:numId w:val="24"/>
              </w:numPr>
              <w:spacing w:before="0" w:beforeAutospacing="0" w:after="0" w:afterAutospacing="0"/>
              <w:rPr>
                <w:rFonts w:ascii="Arial" w:hAnsi="Arial" w:cs="Arial"/>
              </w:rPr>
            </w:pPr>
            <w:r w:rsidRPr="00AC721D">
              <w:rPr>
                <w:rFonts w:ascii="Arial" w:hAnsi="Arial" w:cs="Arial"/>
              </w:rPr>
              <w:t>11</w:t>
            </w:r>
            <w:r w:rsidRPr="00AC721D">
              <w:rPr>
                <w:rFonts w:ascii="Arial" w:hAnsi="Arial" w:cs="Arial"/>
                <w:vertAlign w:val="superscript"/>
              </w:rPr>
              <w:t>th</w:t>
            </w:r>
            <w:r w:rsidRPr="00AC721D">
              <w:rPr>
                <w:rFonts w:ascii="Arial" w:hAnsi="Arial" w:cs="Arial"/>
              </w:rPr>
              <w:t xml:space="preserve"> September 2024</w:t>
            </w:r>
          </w:p>
          <w:p w14:paraId="07F709B9" w14:textId="77777777" w:rsidR="00AC721D" w:rsidRPr="00AC721D" w:rsidRDefault="00AC721D" w:rsidP="00AC721D">
            <w:pPr>
              <w:pStyle w:val="NormalWeb"/>
              <w:spacing w:before="0" w:beforeAutospacing="0" w:after="0" w:afterAutospacing="0"/>
              <w:ind w:left="720"/>
              <w:rPr>
                <w:rFonts w:ascii="Arial" w:hAnsi="Arial" w:cs="Arial"/>
              </w:rPr>
            </w:pPr>
          </w:p>
          <w:p w14:paraId="5BC4D74F" w14:textId="1A834D10" w:rsidR="00AC721D" w:rsidRPr="00AC721D" w:rsidRDefault="001E4AA7" w:rsidP="00AC721D">
            <w:pPr>
              <w:pStyle w:val="NormalWeb"/>
              <w:spacing w:before="0" w:beforeAutospacing="0" w:after="0" w:afterAutospacing="0"/>
              <w:rPr>
                <w:rFonts w:ascii="Arial" w:hAnsi="Arial" w:cs="Arial"/>
              </w:rPr>
            </w:pPr>
            <w:r w:rsidRPr="00AC721D">
              <w:rPr>
                <w:rFonts w:ascii="Arial" w:hAnsi="Arial" w:cs="Arial"/>
              </w:rPr>
              <w:t>The next meeting is scheduled for 11</w:t>
            </w:r>
            <w:r w:rsidRPr="00AC721D">
              <w:rPr>
                <w:rFonts w:ascii="Arial" w:hAnsi="Arial" w:cs="Arial"/>
                <w:vertAlign w:val="superscript"/>
              </w:rPr>
              <w:t>th</w:t>
            </w:r>
            <w:r w:rsidRPr="00AC721D">
              <w:rPr>
                <w:rFonts w:ascii="Arial" w:hAnsi="Arial" w:cs="Arial"/>
              </w:rPr>
              <w:t xml:space="preserve"> December 2024.</w:t>
            </w:r>
          </w:p>
        </w:tc>
      </w:tr>
      <w:tr w:rsidR="00024BA3" w:rsidRPr="001A588D" w14:paraId="005AF76A" w14:textId="77777777" w:rsidTr="00CF670C">
        <w:tc>
          <w:tcPr>
            <w:tcW w:w="645" w:type="dxa"/>
          </w:tcPr>
          <w:p w14:paraId="230C8656" w14:textId="77777777" w:rsidR="00024BA3" w:rsidRDefault="00024BA3" w:rsidP="00024BA3">
            <w:pPr>
              <w:rPr>
                <w:rFonts w:ascii="Arial" w:hAnsi="Arial" w:cs="Arial"/>
                <w:sz w:val="22"/>
                <w:szCs w:val="22"/>
              </w:rPr>
            </w:pPr>
          </w:p>
        </w:tc>
        <w:tc>
          <w:tcPr>
            <w:tcW w:w="8706" w:type="dxa"/>
          </w:tcPr>
          <w:p w14:paraId="328A57E7" w14:textId="77777777" w:rsidR="00024BA3" w:rsidRPr="00B92A78" w:rsidRDefault="00024BA3" w:rsidP="00AC721D">
            <w:pPr>
              <w:pStyle w:val="NormalWeb"/>
              <w:rPr>
                <w:rFonts w:ascii="Arial" w:hAnsi="Arial" w:cs="Arial"/>
              </w:rPr>
            </w:pPr>
          </w:p>
        </w:tc>
      </w:tr>
      <w:tr w:rsidR="00AC721D" w:rsidRPr="001A588D" w14:paraId="40864C5E" w14:textId="77777777" w:rsidTr="00CF670C">
        <w:tc>
          <w:tcPr>
            <w:tcW w:w="645" w:type="dxa"/>
          </w:tcPr>
          <w:p w14:paraId="4E4944CE" w14:textId="77838A29" w:rsidR="00AC721D" w:rsidRDefault="00AC721D" w:rsidP="00024BA3">
            <w:pPr>
              <w:rPr>
                <w:rFonts w:ascii="Arial" w:hAnsi="Arial" w:cs="Arial"/>
                <w:sz w:val="22"/>
                <w:szCs w:val="22"/>
              </w:rPr>
            </w:pPr>
            <w:r>
              <w:rPr>
                <w:rFonts w:ascii="Arial" w:hAnsi="Arial" w:cs="Arial"/>
                <w:sz w:val="22"/>
                <w:szCs w:val="22"/>
              </w:rPr>
              <w:t>3.3</w:t>
            </w:r>
          </w:p>
        </w:tc>
        <w:tc>
          <w:tcPr>
            <w:tcW w:w="8706" w:type="dxa"/>
          </w:tcPr>
          <w:p w14:paraId="6BE16255" w14:textId="0BF17EED" w:rsidR="00AC721D" w:rsidRPr="00B92A78" w:rsidRDefault="002E6384" w:rsidP="00AC721D">
            <w:pPr>
              <w:pStyle w:val="NormalWeb"/>
              <w:rPr>
                <w:rFonts w:ascii="Arial" w:hAnsi="Arial" w:cs="Arial"/>
              </w:rPr>
            </w:pPr>
            <w:r>
              <w:rPr>
                <w:rFonts w:ascii="Arial" w:hAnsi="Arial" w:cs="Arial"/>
              </w:rPr>
              <w:t>Attendance and engagement ha</w:t>
            </w:r>
            <w:r w:rsidR="000B428D">
              <w:rPr>
                <w:rFonts w:ascii="Arial" w:hAnsi="Arial" w:cs="Arial"/>
              </w:rPr>
              <w:t>ve</w:t>
            </w:r>
            <w:r>
              <w:rPr>
                <w:rFonts w:ascii="Arial" w:hAnsi="Arial" w:cs="Arial"/>
              </w:rPr>
              <w:t xml:space="preserve"> been good with 80% attendance over the 6 sessions.</w:t>
            </w:r>
          </w:p>
        </w:tc>
      </w:tr>
      <w:tr w:rsidR="00024BA3" w:rsidRPr="001A588D" w14:paraId="1937D348" w14:textId="77777777" w:rsidTr="00CF670C">
        <w:tc>
          <w:tcPr>
            <w:tcW w:w="645" w:type="dxa"/>
          </w:tcPr>
          <w:p w14:paraId="6048E890" w14:textId="3A4BC9AB" w:rsidR="00024BA3" w:rsidRPr="00F80ADD" w:rsidRDefault="00024BA3" w:rsidP="00024BA3">
            <w:pPr>
              <w:rPr>
                <w:rFonts w:ascii="Arial" w:hAnsi="Arial" w:cs="Arial"/>
              </w:rPr>
            </w:pPr>
          </w:p>
        </w:tc>
        <w:tc>
          <w:tcPr>
            <w:tcW w:w="8706" w:type="dxa"/>
          </w:tcPr>
          <w:p w14:paraId="680EC210" w14:textId="69B03350" w:rsidR="00024BA3" w:rsidRPr="001469BC" w:rsidRDefault="00024BA3" w:rsidP="001469BC">
            <w:pPr>
              <w:pStyle w:val="CommentText"/>
              <w:rPr>
                <w:rFonts w:ascii="Arial" w:hAnsi="Arial" w:cs="Arial"/>
                <w:sz w:val="24"/>
                <w:szCs w:val="24"/>
              </w:rPr>
            </w:pPr>
          </w:p>
        </w:tc>
      </w:tr>
      <w:tr w:rsidR="00D00F49" w:rsidRPr="001A588D" w14:paraId="7E67DF2A" w14:textId="77777777" w:rsidTr="00CF670C">
        <w:tc>
          <w:tcPr>
            <w:tcW w:w="645" w:type="dxa"/>
          </w:tcPr>
          <w:p w14:paraId="2B010B3F" w14:textId="5236970B" w:rsidR="00D00F49" w:rsidRPr="00F80ADD" w:rsidRDefault="00D00F49" w:rsidP="00024BA3">
            <w:pPr>
              <w:rPr>
                <w:rFonts w:ascii="Arial" w:hAnsi="Arial" w:cs="Arial"/>
              </w:rPr>
            </w:pPr>
            <w:r>
              <w:rPr>
                <w:rFonts w:ascii="Arial" w:hAnsi="Arial" w:cs="Arial"/>
              </w:rPr>
              <w:t>3.4</w:t>
            </w:r>
          </w:p>
        </w:tc>
        <w:tc>
          <w:tcPr>
            <w:tcW w:w="8706" w:type="dxa"/>
          </w:tcPr>
          <w:p w14:paraId="6219448E" w14:textId="02EB14F4" w:rsidR="00D00F49" w:rsidRPr="001469BC" w:rsidRDefault="00D00F49" w:rsidP="00D00F49">
            <w:pPr>
              <w:rPr>
                <w:rFonts w:ascii="Arial" w:hAnsi="Arial" w:cs="Arial"/>
              </w:rPr>
            </w:pPr>
            <w:r w:rsidRPr="00AA3574">
              <w:rPr>
                <w:rFonts w:ascii="Arial" w:hAnsi="Arial" w:cs="Arial"/>
              </w:rPr>
              <w:t xml:space="preserve">The cost provided for </w:t>
            </w:r>
            <w:r>
              <w:rPr>
                <w:rFonts w:ascii="Arial" w:hAnsi="Arial" w:cs="Arial"/>
              </w:rPr>
              <w:t>20</w:t>
            </w:r>
            <w:r w:rsidRPr="00AA3574">
              <w:rPr>
                <w:rFonts w:ascii="Arial" w:hAnsi="Arial" w:cs="Arial"/>
              </w:rPr>
              <w:t xml:space="preserve">23 was £15,000, shared equally by the seven organisations (i.e., Caerphilly County Borough Council, Monmouthshire County Council, Newport City Council, Torfaen County Borough Council, South Wales Fire and Rescue, Natural Resources Wales, and Aneurin Bevan University Health Board).  The cost </w:t>
            </w:r>
            <w:r>
              <w:rPr>
                <w:rFonts w:ascii="Arial" w:hAnsi="Arial" w:cs="Arial"/>
              </w:rPr>
              <w:t>wa</w:t>
            </w:r>
            <w:r w:rsidRPr="00AA3574">
              <w:rPr>
                <w:rFonts w:ascii="Arial" w:hAnsi="Arial" w:cs="Arial"/>
              </w:rPr>
              <w:t xml:space="preserve">s based on existing models in place for CCRCD scrutiny, hosted by RCTCBC.  </w:t>
            </w:r>
          </w:p>
        </w:tc>
      </w:tr>
      <w:tr w:rsidR="00024BA3" w:rsidRPr="001A588D" w14:paraId="10F4D4B1" w14:textId="77777777" w:rsidTr="00CF670C">
        <w:tc>
          <w:tcPr>
            <w:tcW w:w="645" w:type="dxa"/>
          </w:tcPr>
          <w:p w14:paraId="05873DE1" w14:textId="77777777" w:rsidR="00024BA3" w:rsidRPr="00F80ADD" w:rsidRDefault="00024BA3" w:rsidP="00024BA3">
            <w:pPr>
              <w:rPr>
                <w:rFonts w:ascii="Arial" w:hAnsi="Arial" w:cs="Arial"/>
                <w:sz w:val="22"/>
                <w:szCs w:val="22"/>
              </w:rPr>
            </w:pPr>
          </w:p>
        </w:tc>
        <w:tc>
          <w:tcPr>
            <w:tcW w:w="8706" w:type="dxa"/>
          </w:tcPr>
          <w:p w14:paraId="305D939E" w14:textId="77777777" w:rsidR="00024BA3" w:rsidRPr="00B92A78" w:rsidRDefault="00024BA3" w:rsidP="00024BA3">
            <w:pPr>
              <w:jc w:val="both"/>
              <w:rPr>
                <w:rFonts w:ascii="Arial" w:hAnsi="Arial" w:cs="Arial"/>
              </w:rPr>
            </w:pPr>
          </w:p>
        </w:tc>
      </w:tr>
      <w:tr w:rsidR="00024BA3" w:rsidRPr="001A588D" w14:paraId="73DE4690" w14:textId="77777777" w:rsidTr="00CF670C">
        <w:tc>
          <w:tcPr>
            <w:tcW w:w="645" w:type="dxa"/>
          </w:tcPr>
          <w:p w14:paraId="30C14C6C" w14:textId="0CAF4B5E" w:rsidR="00024BA3" w:rsidRPr="00F80ADD" w:rsidRDefault="00024BA3" w:rsidP="00024BA3">
            <w:pPr>
              <w:rPr>
                <w:rFonts w:ascii="Arial" w:hAnsi="Arial" w:cs="Arial"/>
                <w:sz w:val="22"/>
                <w:szCs w:val="22"/>
              </w:rPr>
            </w:pPr>
            <w:r>
              <w:rPr>
                <w:rFonts w:ascii="Arial" w:hAnsi="Arial" w:cs="Arial"/>
                <w:sz w:val="22"/>
                <w:szCs w:val="22"/>
              </w:rPr>
              <w:t>3.</w:t>
            </w:r>
            <w:r w:rsidR="00D00F49">
              <w:rPr>
                <w:rFonts w:ascii="Arial" w:hAnsi="Arial" w:cs="Arial"/>
                <w:sz w:val="22"/>
                <w:szCs w:val="22"/>
              </w:rPr>
              <w:t>5</w:t>
            </w:r>
          </w:p>
        </w:tc>
        <w:tc>
          <w:tcPr>
            <w:tcW w:w="8706" w:type="dxa"/>
          </w:tcPr>
          <w:p w14:paraId="5106E86C" w14:textId="77777777" w:rsidR="001469BC" w:rsidRDefault="001469BC" w:rsidP="00024BA3">
            <w:pPr>
              <w:jc w:val="both"/>
              <w:rPr>
                <w:rFonts w:ascii="Arial" w:hAnsi="Arial" w:cs="Arial"/>
              </w:rPr>
            </w:pPr>
            <w:r>
              <w:rPr>
                <w:rFonts w:ascii="Arial" w:hAnsi="Arial" w:cs="Arial"/>
              </w:rPr>
              <w:t>On 14</w:t>
            </w:r>
            <w:r w:rsidRPr="001469BC">
              <w:rPr>
                <w:rFonts w:ascii="Arial" w:hAnsi="Arial" w:cs="Arial"/>
                <w:vertAlign w:val="superscript"/>
              </w:rPr>
              <w:t>th</w:t>
            </w:r>
            <w:r>
              <w:rPr>
                <w:rFonts w:ascii="Arial" w:hAnsi="Arial" w:cs="Arial"/>
              </w:rPr>
              <w:t xml:space="preserve"> December 2023, the Gwent Public Services Board agreed:</w:t>
            </w:r>
          </w:p>
          <w:p w14:paraId="14B16B8D" w14:textId="77777777" w:rsidR="001469BC" w:rsidRDefault="001469BC" w:rsidP="00024BA3">
            <w:pPr>
              <w:jc w:val="both"/>
              <w:rPr>
                <w:rFonts w:ascii="Arial" w:hAnsi="Arial" w:cs="Arial"/>
              </w:rPr>
            </w:pPr>
          </w:p>
          <w:p w14:paraId="1488863B" w14:textId="7BD50AB5" w:rsidR="00024BA3" w:rsidRDefault="001469BC" w:rsidP="001469BC">
            <w:pPr>
              <w:pStyle w:val="ListParagraph"/>
              <w:numPr>
                <w:ilvl w:val="0"/>
                <w:numId w:val="25"/>
              </w:numPr>
              <w:jc w:val="both"/>
              <w:rPr>
                <w:rFonts w:ascii="Arial" w:hAnsi="Arial" w:cs="Arial"/>
              </w:rPr>
            </w:pPr>
            <w:r>
              <w:rPr>
                <w:rFonts w:ascii="Arial" w:hAnsi="Arial" w:cs="Arial"/>
              </w:rPr>
              <w:t>F</w:t>
            </w:r>
            <w:r w:rsidRPr="001469BC">
              <w:rPr>
                <w:rFonts w:ascii="Arial" w:hAnsi="Arial" w:cs="Arial"/>
              </w:rPr>
              <w:t>or the remaining funding held by Blaenau Gwent CBC, provided by PSB partners for 2023 be carried over into 2024</w:t>
            </w:r>
            <w:r>
              <w:rPr>
                <w:rFonts w:ascii="Arial" w:hAnsi="Arial" w:cs="Arial"/>
              </w:rPr>
              <w:t xml:space="preserve"> and a move from a calendar year to a financial year </w:t>
            </w:r>
            <w:proofErr w:type="gramStart"/>
            <w:r>
              <w:rPr>
                <w:rFonts w:ascii="Arial" w:hAnsi="Arial" w:cs="Arial"/>
              </w:rPr>
              <w:t>process;</w:t>
            </w:r>
            <w:proofErr w:type="gramEnd"/>
          </w:p>
          <w:p w14:paraId="25171DCF" w14:textId="77777777" w:rsidR="001469BC" w:rsidRDefault="001469BC" w:rsidP="001469BC">
            <w:pPr>
              <w:pStyle w:val="ListParagraph"/>
              <w:numPr>
                <w:ilvl w:val="0"/>
                <w:numId w:val="25"/>
              </w:numPr>
              <w:jc w:val="both"/>
              <w:rPr>
                <w:rFonts w:ascii="Arial" w:hAnsi="Arial" w:cs="Arial"/>
              </w:rPr>
            </w:pPr>
            <w:r>
              <w:rPr>
                <w:rFonts w:ascii="Arial" w:hAnsi="Arial" w:cs="Arial"/>
              </w:rPr>
              <w:t xml:space="preserve">For Blaenau Gwent CBC to utilise the remaining funding to cover the three months of financial year 2023/24; and </w:t>
            </w:r>
          </w:p>
          <w:p w14:paraId="029D9EB5" w14:textId="7A3A369B" w:rsidR="001469BC" w:rsidRPr="001469BC" w:rsidRDefault="001469BC" w:rsidP="001469BC">
            <w:pPr>
              <w:pStyle w:val="ListParagraph"/>
              <w:numPr>
                <w:ilvl w:val="0"/>
                <w:numId w:val="25"/>
              </w:numPr>
              <w:jc w:val="both"/>
              <w:rPr>
                <w:rFonts w:ascii="Arial" w:hAnsi="Arial" w:cs="Arial"/>
              </w:rPr>
            </w:pPr>
            <w:r>
              <w:rPr>
                <w:rFonts w:ascii="Arial" w:hAnsi="Arial" w:cs="Arial"/>
              </w:rPr>
              <w:t>The remaining funding to be rolled over to 2024/25 to support the administration of the scrutiny committee.</w:t>
            </w:r>
          </w:p>
        </w:tc>
      </w:tr>
      <w:tr w:rsidR="00024BA3" w:rsidRPr="001A588D" w14:paraId="4D937B41" w14:textId="77777777" w:rsidTr="00CF670C">
        <w:tc>
          <w:tcPr>
            <w:tcW w:w="645" w:type="dxa"/>
          </w:tcPr>
          <w:p w14:paraId="53927AE7" w14:textId="77777777" w:rsidR="00024BA3" w:rsidRPr="00F80ADD" w:rsidRDefault="00024BA3" w:rsidP="00024BA3">
            <w:pPr>
              <w:rPr>
                <w:rFonts w:ascii="Arial" w:hAnsi="Arial" w:cs="Arial"/>
                <w:sz w:val="22"/>
                <w:szCs w:val="22"/>
              </w:rPr>
            </w:pPr>
          </w:p>
        </w:tc>
        <w:tc>
          <w:tcPr>
            <w:tcW w:w="8706" w:type="dxa"/>
          </w:tcPr>
          <w:p w14:paraId="3581BF45" w14:textId="77777777" w:rsidR="00024BA3" w:rsidRPr="001D2867" w:rsidRDefault="00024BA3" w:rsidP="00024BA3">
            <w:pPr>
              <w:jc w:val="both"/>
              <w:rPr>
                <w:rFonts w:ascii="Arial" w:hAnsi="Arial" w:cs="Arial"/>
              </w:rPr>
            </w:pPr>
          </w:p>
        </w:tc>
      </w:tr>
      <w:tr w:rsidR="00024BA3" w:rsidRPr="001A588D" w14:paraId="7AA2AC0E" w14:textId="77777777" w:rsidTr="00CF670C">
        <w:tc>
          <w:tcPr>
            <w:tcW w:w="645" w:type="dxa"/>
          </w:tcPr>
          <w:p w14:paraId="6BF2C081" w14:textId="54AB7043" w:rsidR="00024BA3" w:rsidRPr="00F80ADD" w:rsidRDefault="00024BA3" w:rsidP="00024BA3">
            <w:pPr>
              <w:rPr>
                <w:rFonts w:ascii="Arial" w:hAnsi="Arial" w:cs="Arial"/>
                <w:sz w:val="22"/>
                <w:szCs w:val="22"/>
              </w:rPr>
            </w:pPr>
            <w:r>
              <w:rPr>
                <w:rFonts w:ascii="Arial" w:hAnsi="Arial" w:cs="Arial"/>
                <w:sz w:val="22"/>
                <w:szCs w:val="22"/>
              </w:rPr>
              <w:t>3.</w:t>
            </w:r>
            <w:r w:rsidR="00A42F67">
              <w:rPr>
                <w:rFonts w:ascii="Arial" w:hAnsi="Arial" w:cs="Arial"/>
                <w:sz w:val="22"/>
                <w:szCs w:val="22"/>
              </w:rPr>
              <w:t>6</w:t>
            </w:r>
          </w:p>
        </w:tc>
        <w:tc>
          <w:tcPr>
            <w:tcW w:w="8706" w:type="dxa"/>
          </w:tcPr>
          <w:p w14:paraId="5AD00D7F" w14:textId="358851D6" w:rsidR="00024BA3" w:rsidRPr="001D2867" w:rsidRDefault="001469BC" w:rsidP="001469BC">
            <w:pPr>
              <w:jc w:val="both"/>
              <w:rPr>
                <w:rFonts w:ascii="Arial" w:hAnsi="Arial" w:cs="Arial"/>
              </w:rPr>
            </w:pPr>
            <w:r>
              <w:rPr>
                <w:rFonts w:ascii="Arial" w:hAnsi="Arial" w:cs="Arial"/>
              </w:rPr>
              <w:t>From December 2022 to October 2024, the financial cost of running the committee have been £6208, with £8791 remaining.</w:t>
            </w:r>
          </w:p>
        </w:tc>
      </w:tr>
      <w:tr w:rsidR="001469BC" w:rsidRPr="001A588D" w14:paraId="29337125" w14:textId="77777777" w:rsidTr="00CF670C">
        <w:tc>
          <w:tcPr>
            <w:tcW w:w="645" w:type="dxa"/>
          </w:tcPr>
          <w:p w14:paraId="382FE237" w14:textId="77777777" w:rsidR="001469BC" w:rsidRPr="00F80ADD" w:rsidRDefault="001469BC" w:rsidP="00024BA3">
            <w:pPr>
              <w:rPr>
                <w:rFonts w:ascii="Arial" w:hAnsi="Arial" w:cs="Arial"/>
                <w:sz w:val="22"/>
                <w:szCs w:val="22"/>
              </w:rPr>
            </w:pPr>
          </w:p>
        </w:tc>
        <w:tc>
          <w:tcPr>
            <w:tcW w:w="8706" w:type="dxa"/>
          </w:tcPr>
          <w:p w14:paraId="20063532" w14:textId="77777777" w:rsidR="001469BC" w:rsidRPr="00B92A78" w:rsidRDefault="001469BC" w:rsidP="00024BA3">
            <w:pPr>
              <w:jc w:val="both"/>
              <w:rPr>
                <w:rFonts w:ascii="Arial" w:hAnsi="Arial" w:cs="Arial"/>
              </w:rPr>
            </w:pPr>
          </w:p>
        </w:tc>
      </w:tr>
      <w:tr w:rsidR="00024BA3" w14:paraId="2A2E47C3" w14:textId="77777777" w:rsidTr="00CF670C">
        <w:tc>
          <w:tcPr>
            <w:tcW w:w="645" w:type="dxa"/>
          </w:tcPr>
          <w:p w14:paraId="7617D425" w14:textId="6E25A2C5" w:rsidR="00024BA3" w:rsidRPr="00867993" w:rsidRDefault="00024BA3" w:rsidP="00024BA3">
            <w:pPr>
              <w:rPr>
                <w:rFonts w:ascii="Arial" w:hAnsi="Arial" w:cs="Arial"/>
                <w:sz w:val="22"/>
                <w:szCs w:val="22"/>
              </w:rPr>
            </w:pPr>
            <w:r>
              <w:rPr>
                <w:rFonts w:ascii="Arial" w:hAnsi="Arial" w:cs="Arial"/>
                <w:sz w:val="22"/>
                <w:szCs w:val="22"/>
              </w:rPr>
              <w:t>4</w:t>
            </w:r>
          </w:p>
        </w:tc>
        <w:tc>
          <w:tcPr>
            <w:tcW w:w="8706" w:type="dxa"/>
          </w:tcPr>
          <w:p w14:paraId="0B3277E5" w14:textId="796DEA79" w:rsidR="00024BA3" w:rsidRPr="00B92A78" w:rsidRDefault="00024BA3" w:rsidP="00024BA3">
            <w:pPr>
              <w:rPr>
                <w:rFonts w:ascii="Arial" w:hAnsi="Arial" w:cs="Arial"/>
              </w:rPr>
            </w:pPr>
            <w:r w:rsidRPr="00B92A78">
              <w:rPr>
                <w:rFonts w:ascii="Arial" w:eastAsia="Arial" w:hAnsi="Arial" w:cs="Arial"/>
                <w:b/>
                <w:bCs/>
              </w:rPr>
              <w:t>Recommendations</w:t>
            </w:r>
          </w:p>
        </w:tc>
      </w:tr>
      <w:tr w:rsidR="00024BA3" w14:paraId="1D4CB436" w14:textId="77777777" w:rsidTr="00CF670C">
        <w:tc>
          <w:tcPr>
            <w:tcW w:w="645" w:type="dxa"/>
          </w:tcPr>
          <w:p w14:paraId="2CF4E7D7" w14:textId="77777777" w:rsidR="00024BA3" w:rsidRPr="00867993" w:rsidRDefault="00024BA3" w:rsidP="00024BA3">
            <w:pPr>
              <w:rPr>
                <w:rFonts w:ascii="Arial" w:hAnsi="Arial" w:cs="Arial"/>
                <w:sz w:val="22"/>
                <w:szCs w:val="22"/>
              </w:rPr>
            </w:pPr>
          </w:p>
        </w:tc>
        <w:tc>
          <w:tcPr>
            <w:tcW w:w="8706" w:type="dxa"/>
          </w:tcPr>
          <w:p w14:paraId="4A6EF228" w14:textId="77777777" w:rsidR="00024BA3" w:rsidRPr="00B92A78" w:rsidRDefault="00024BA3" w:rsidP="00024BA3">
            <w:pPr>
              <w:rPr>
                <w:rFonts w:ascii="Arial" w:hAnsi="Arial" w:cs="Arial"/>
              </w:rPr>
            </w:pPr>
          </w:p>
        </w:tc>
      </w:tr>
      <w:tr w:rsidR="00024BA3" w14:paraId="243F2582" w14:textId="77777777" w:rsidTr="00CF670C">
        <w:tc>
          <w:tcPr>
            <w:tcW w:w="645" w:type="dxa"/>
          </w:tcPr>
          <w:p w14:paraId="197D0923" w14:textId="6582C976" w:rsidR="00024BA3" w:rsidRPr="00867993" w:rsidRDefault="00045702" w:rsidP="00024BA3">
            <w:pPr>
              <w:rPr>
                <w:rFonts w:ascii="Arial" w:hAnsi="Arial" w:cs="Arial"/>
                <w:sz w:val="22"/>
                <w:szCs w:val="22"/>
              </w:rPr>
            </w:pPr>
            <w:r>
              <w:rPr>
                <w:rFonts w:ascii="Arial" w:eastAsia="Arial" w:hAnsi="Arial" w:cs="Arial"/>
                <w:sz w:val="22"/>
                <w:szCs w:val="22"/>
              </w:rPr>
              <w:t>4</w:t>
            </w:r>
            <w:r w:rsidR="00024BA3" w:rsidRPr="28E75779">
              <w:rPr>
                <w:rFonts w:ascii="Arial" w:eastAsia="Arial" w:hAnsi="Arial" w:cs="Arial"/>
                <w:sz w:val="22"/>
                <w:szCs w:val="22"/>
              </w:rPr>
              <w:t>.1</w:t>
            </w:r>
          </w:p>
        </w:tc>
        <w:tc>
          <w:tcPr>
            <w:tcW w:w="8706" w:type="dxa"/>
          </w:tcPr>
          <w:p w14:paraId="5875A1DF" w14:textId="241B7263" w:rsidR="00024BA3" w:rsidRDefault="00024BA3" w:rsidP="00024BA3">
            <w:pPr>
              <w:rPr>
                <w:rFonts w:ascii="Arial" w:hAnsi="Arial" w:cs="Arial"/>
              </w:rPr>
            </w:pPr>
            <w:r>
              <w:rPr>
                <w:rFonts w:ascii="Arial" w:hAnsi="Arial" w:cs="Arial"/>
              </w:rPr>
              <w:t>It is, therefore, recommended that the Gwent Public Services Board:</w:t>
            </w:r>
          </w:p>
          <w:p w14:paraId="45EA873F" w14:textId="77777777" w:rsidR="00024BA3" w:rsidRDefault="00024BA3" w:rsidP="00024BA3">
            <w:pPr>
              <w:rPr>
                <w:rFonts w:ascii="Arial" w:hAnsi="Arial" w:cs="Arial"/>
              </w:rPr>
            </w:pPr>
          </w:p>
          <w:p w14:paraId="5FCAC0BC" w14:textId="2CD1745D" w:rsidR="0002537B" w:rsidRDefault="0002537B" w:rsidP="00024BA3">
            <w:pPr>
              <w:pStyle w:val="ListParagraph"/>
              <w:numPr>
                <w:ilvl w:val="0"/>
                <w:numId w:val="23"/>
              </w:numPr>
              <w:rPr>
                <w:rFonts w:ascii="Arial" w:hAnsi="Arial" w:cs="Arial"/>
              </w:rPr>
            </w:pPr>
            <w:r>
              <w:rPr>
                <w:rFonts w:ascii="Arial" w:hAnsi="Arial" w:cs="Arial"/>
              </w:rPr>
              <w:t>Agree for Blaenau Gwent to continue to act as the lead organisation to facilitate committee support; and</w:t>
            </w:r>
          </w:p>
          <w:p w14:paraId="6CD43697" w14:textId="08848ABA" w:rsidR="00024BA3" w:rsidRPr="002D3C00" w:rsidRDefault="002E6384" w:rsidP="00024BA3">
            <w:pPr>
              <w:pStyle w:val="ListParagraph"/>
              <w:numPr>
                <w:ilvl w:val="0"/>
                <w:numId w:val="23"/>
              </w:numPr>
              <w:rPr>
                <w:rFonts w:ascii="Arial" w:hAnsi="Arial" w:cs="Arial"/>
              </w:rPr>
            </w:pPr>
            <w:r>
              <w:rPr>
                <w:rFonts w:ascii="Arial" w:hAnsi="Arial" w:cs="Arial"/>
              </w:rPr>
              <w:t xml:space="preserve">Agree for Blaenau Gwent CBC to carry over the remaining funding, which will support the committee arrangements up until </w:t>
            </w:r>
            <w:r w:rsidR="000B428D">
              <w:rPr>
                <w:rFonts w:ascii="Arial" w:hAnsi="Arial" w:cs="Arial"/>
              </w:rPr>
              <w:t>August</w:t>
            </w:r>
            <w:r>
              <w:rPr>
                <w:rFonts w:ascii="Arial" w:hAnsi="Arial" w:cs="Arial"/>
              </w:rPr>
              <w:t xml:space="preserve"> 2026.</w:t>
            </w:r>
          </w:p>
        </w:tc>
      </w:tr>
      <w:tr w:rsidR="00024BA3" w14:paraId="2677C968" w14:textId="77777777" w:rsidTr="00CF670C">
        <w:tc>
          <w:tcPr>
            <w:tcW w:w="645" w:type="dxa"/>
          </w:tcPr>
          <w:p w14:paraId="19F02D89" w14:textId="51AD882A" w:rsidR="00024BA3" w:rsidRPr="00867993" w:rsidRDefault="00024BA3" w:rsidP="00024BA3">
            <w:pPr>
              <w:rPr>
                <w:rFonts w:ascii="Arial" w:hAnsi="Arial" w:cs="Arial"/>
                <w:sz w:val="22"/>
                <w:szCs w:val="22"/>
              </w:rPr>
            </w:pPr>
          </w:p>
        </w:tc>
        <w:tc>
          <w:tcPr>
            <w:tcW w:w="8706" w:type="dxa"/>
          </w:tcPr>
          <w:p w14:paraId="2E0F9299" w14:textId="3C80479D" w:rsidR="00024BA3" w:rsidRPr="00B92A78" w:rsidRDefault="00024BA3" w:rsidP="00024BA3">
            <w:pPr>
              <w:rPr>
                <w:rFonts w:ascii="Arial" w:hAnsi="Arial" w:cs="Arial"/>
              </w:rPr>
            </w:pPr>
          </w:p>
        </w:tc>
      </w:tr>
      <w:tr w:rsidR="00024BA3" w14:paraId="0D922E2F" w14:textId="77777777" w:rsidTr="00CF670C">
        <w:tc>
          <w:tcPr>
            <w:tcW w:w="645" w:type="dxa"/>
          </w:tcPr>
          <w:p w14:paraId="030817BC" w14:textId="094D9B56" w:rsidR="00024BA3" w:rsidRPr="28E75779" w:rsidRDefault="00024BA3" w:rsidP="00024BA3">
            <w:pPr>
              <w:rPr>
                <w:rFonts w:ascii="Arial" w:hAnsi="Arial" w:cs="Arial"/>
                <w:sz w:val="22"/>
                <w:szCs w:val="22"/>
              </w:rPr>
            </w:pPr>
            <w:r>
              <w:rPr>
                <w:rFonts w:ascii="Arial" w:hAnsi="Arial" w:cs="Arial"/>
                <w:sz w:val="22"/>
                <w:szCs w:val="22"/>
              </w:rPr>
              <w:t>5</w:t>
            </w:r>
          </w:p>
        </w:tc>
        <w:tc>
          <w:tcPr>
            <w:tcW w:w="8706" w:type="dxa"/>
          </w:tcPr>
          <w:p w14:paraId="68833B98" w14:textId="57CAE48A" w:rsidR="00024BA3" w:rsidRPr="002D3C00" w:rsidRDefault="000B428D" w:rsidP="00024BA3">
            <w:pPr>
              <w:rPr>
                <w:rFonts w:ascii="Arial" w:hAnsi="Arial" w:cs="Arial"/>
                <w:b/>
                <w:bCs/>
              </w:rPr>
            </w:pPr>
            <w:r>
              <w:rPr>
                <w:rFonts w:ascii="Arial" w:hAnsi="Arial" w:cs="Arial"/>
                <w:b/>
                <w:bCs/>
              </w:rPr>
              <w:t>Improvements Moving Forward</w:t>
            </w:r>
          </w:p>
        </w:tc>
      </w:tr>
      <w:tr w:rsidR="00024BA3" w14:paraId="24C7C9B6" w14:textId="77777777" w:rsidTr="00CF670C">
        <w:tc>
          <w:tcPr>
            <w:tcW w:w="645" w:type="dxa"/>
          </w:tcPr>
          <w:p w14:paraId="01741830" w14:textId="77777777" w:rsidR="00024BA3" w:rsidRDefault="00024BA3" w:rsidP="00024BA3">
            <w:pPr>
              <w:rPr>
                <w:rFonts w:ascii="Arial" w:hAnsi="Arial" w:cs="Arial"/>
                <w:sz w:val="22"/>
                <w:szCs w:val="22"/>
              </w:rPr>
            </w:pPr>
          </w:p>
        </w:tc>
        <w:tc>
          <w:tcPr>
            <w:tcW w:w="8706" w:type="dxa"/>
          </w:tcPr>
          <w:p w14:paraId="5DD08D40" w14:textId="77777777" w:rsidR="00024BA3" w:rsidRDefault="00024BA3" w:rsidP="00024BA3">
            <w:pPr>
              <w:rPr>
                <w:rFonts w:ascii="Arial" w:hAnsi="Arial" w:cs="Arial"/>
                <w:b/>
                <w:bCs/>
              </w:rPr>
            </w:pPr>
          </w:p>
        </w:tc>
      </w:tr>
      <w:tr w:rsidR="00024BA3" w14:paraId="4C725246" w14:textId="77777777" w:rsidTr="00CF670C">
        <w:tc>
          <w:tcPr>
            <w:tcW w:w="645" w:type="dxa"/>
          </w:tcPr>
          <w:p w14:paraId="360AB146" w14:textId="77777777" w:rsidR="00024BA3" w:rsidRDefault="00024BA3" w:rsidP="00024BA3">
            <w:pPr>
              <w:rPr>
                <w:rFonts w:ascii="Arial" w:hAnsi="Arial" w:cs="Arial"/>
                <w:sz w:val="22"/>
                <w:szCs w:val="22"/>
              </w:rPr>
            </w:pPr>
            <w:r>
              <w:rPr>
                <w:rFonts w:ascii="Arial" w:hAnsi="Arial" w:cs="Arial"/>
                <w:sz w:val="22"/>
                <w:szCs w:val="22"/>
              </w:rPr>
              <w:t>5.1</w:t>
            </w:r>
          </w:p>
          <w:p w14:paraId="4868E0F3" w14:textId="77777777" w:rsidR="00EB1C44" w:rsidRDefault="00EB1C44" w:rsidP="00024BA3">
            <w:pPr>
              <w:rPr>
                <w:rFonts w:ascii="Arial" w:hAnsi="Arial" w:cs="Arial"/>
                <w:sz w:val="22"/>
                <w:szCs w:val="22"/>
              </w:rPr>
            </w:pPr>
          </w:p>
          <w:p w14:paraId="3428A02D" w14:textId="77777777" w:rsidR="00EB1C44" w:rsidRDefault="00EB1C44" w:rsidP="00024BA3">
            <w:pPr>
              <w:rPr>
                <w:rFonts w:ascii="Arial" w:hAnsi="Arial" w:cs="Arial"/>
                <w:sz w:val="22"/>
                <w:szCs w:val="22"/>
              </w:rPr>
            </w:pPr>
          </w:p>
          <w:p w14:paraId="27F68715" w14:textId="77777777" w:rsidR="00EB1C44" w:rsidRDefault="00EB1C44" w:rsidP="00024BA3">
            <w:pPr>
              <w:rPr>
                <w:rFonts w:ascii="Arial" w:hAnsi="Arial" w:cs="Arial"/>
                <w:sz w:val="22"/>
                <w:szCs w:val="22"/>
              </w:rPr>
            </w:pPr>
          </w:p>
          <w:p w14:paraId="6834CF98" w14:textId="77777777" w:rsidR="00EB1C44" w:rsidRDefault="00EB1C44" w:rsidP="00024BA3">
            <w:pPr>
              <w:rPr>
                <w:rFonts w:ascii="Arial" w:hAnsi="Arial" w:cs="Arial"/>
                <w:sz w:val="22"/>
                <w:szCs w:val="22"/>
              </w:rPr>
            </w:pPr>
          </w:p>
          <w:p w14:paraId="0509DD42" w14:textId="77777777" w:rsidR="00EB1C44" w:rsidRDefault="00EB1C44" w:rsidP="00024BA3">
            <w:pPr>
              <w:rPr>
                <w:rFonts w:ascii="Arial" w:hAnsi="Arial" w:cs="Arial"/>
                <w:sz w:val="22"/>
                <w:szCs w:val="22"/>
              </w:rPr>
            </w:pPr>
          </w:p>
          <w:p w14:paraId="6A3D6F7C" w14:textId="77777777" w:rsidR="00EB1C44" w:rsidRDefault="00EB1C44" w:rsidP="00024BA3">
            <w:pPr>
              <w:rPr>
                <w:rFonts w:ascii="Arial" w:hAnsi="Arial" w:cs="Arial"/>
                <w:sz w:val="22"/>
                <w:szCs w:val="22"/>
              </w:rPr>
            </w:pPr>
          </w:p>
          <w:p w14:paraId="3BBA3279" w14:textId="77777777" w:rsidR="00EB1C44" w:rsidRDefault="00EB1C44" w:rsidP="00024BA3">
            <w:pPr>
              <w:rPr>
                <w:rFonts w:ascii="Arial" w:hAnsi="Arial" w:cs="Arial"/>
                <w:sz w:val="22"/>
                <w:szCs w:val="22"/>
              </w:rPr>
            </w:pPr>
          </w:p>
          <w:p w14:paraId="3A62026B" w14:textId="77777777" w:rsidR="00EB1C44" w:rsidRDefault="00EB1C44" w:rsidP="00024BA3">
            <w:pPr>
              <w:rPr>
                <w:rFonts w:ascii="Arial" w:hAnsi="Arial" w:cs="Arial"/>
                <w:sz w:val="22"/>
                <w:szCs w:val="22"/>
              </w:rPr>
            </w:pPr>
          </w:p>
          <w:p w14:paraId="5273700E" w14:textId="77777777" w:rsidR="00EB1C44" w:rsidRDefault="00EB1C44" w:rsidP="00024BA3">
            <w:pPr>
              <w:rPr>
                <w:rFonts w:ascii="Arial" w:hAnsi="Arial" w:cs="Arial"/>
                <w:sz w:val="22"/>
                <w:szCs w:val="22"/>
              </w:rPr>
            </w:pPr>
            <w:r>
              <w:rPr>
                <w:rFonts w:ascii="Arial" w:hAnsi="Arial" w:cs="Arial"/>
                <w:sz w:val="22"/>
                <w:szCs w:val="22"/>
              </w:rPr>
              <w:t>6</w:t>
            </w:r>
          </w:p>
          <w:p w14:paraId="3177F1B9" w14:textId="77777777" w:rsidR="00EB1C44" w:rsidRDefault="00EB1C44" w:rsidP="00024BA3">
            <w:pPr>
              <w:rPr>
                <w:rFonts w:ascii="Arial" w:hAnsi="Arial" w:cs="Arial"/>
                <w:sz w:val="22"/>
                <w:szCs w:val="22"/>
              </w:rPr>
            </w:pPr>
          </w:p>
          <w:p w14:paraId="27CC04E4" w14:textId="03F56FA9" w:rsidR="00EB1C44" w:rsidRDefault="00EB1C44" w:rsidP="00024BA3">
            <w:pPr>
              <w:rPr>
                <w:rFonts w:ascii="Arial" w:hAnsi="Arial" w:cs="Arial"/>
                <w:sz w:val="22"/>
                <w:szCs w:val="22"/>
              </w:rPr>
            </w:pPr>
            <w:r>
              <w:rPr>
                <w:rFonts w:ascii="Arial" w:hAnsi="Arial" w:cs="Arial"/>
                <w:sz w:val="22"/>
                <w:szCs w:val="22"/>
              </w:rPr>
              <w:t>6.1</w:t>
            </w:r>
          </w:p>
        </w:tc>
        <w:tc>
          <w:tcPr>
            <w:tcW w:w="8706" w:type="dxa"/>
          </w:tcPr>
          <w:p w14:paraId="0C36392E" w14:textId="77777777" w:rsidR="00045702" w:rsidRPr="00045702" w:rsidRDefault="00045702" w:rsidP="00045702">
            <w:pPr>
              <w:pStyle w:val="ListParagraph"/>
              <w:numPr>
                <w:ilvl w:val="0"/>
                <w:numId w:val="26"/>
              </w:numPr>
              <w:rPr>
                <w:rFonts w:ascii="Arial" w:hAnsi="Arial" w:cs="Arial"/>
              </w:rPr>
            </w:pPr>
            <w:r w:rsidRPr="00045702">
              <w:rPr>
                <w:rFonts w:ascii="Arial" w:hAnsi="Arial" w:cs="Arial"/>
              </w:rPr>
              <w:t xml:space="preserve">Work with the PSB to align the cycle of Scrutiny Committee meetings with Board meetings to ensure effective reporting and decision </w:t>
            </w:r>
            <w:proofErr w:type="gramStart"/>
            <w:r w:rsidRPr="00045702">
              <w:rPr>
                <w:rFonts w:ascii="Arial" w:hAnsi="Arial" w:cs="Arial"/>
              </w:rPr>
              <w:t>making;</w:t>
            </w:r>
            <w:proofErr w:type="gramEnd"/>
          </w:p>
          <w:p w14:paraId="173C5D86" w14:textId="167BE07F" w:rsidR="00045702" w:rsidRPr="00045702" w:rsidRDefault="00045702" w:rsidP="00045702">
            <w:pPr>
              <w:pStyle w:val="ListParagraph"/>
              <w:numPr>
                <w:ilvl w:val="0"/>
                <w:numId w:val="26"/>
              </w:numPr>
              <w:rPr>
                <w:rFonts w:ascii="Arial" w:hAnsi="Arial" w:cs="Arial"/>
              </w:rPr>
            </w:pPr>
            <w:r w:rsidRPr="00045702">
              <w:rPr>
                <w:rFonts w:ascii="Arial" w:hAnsi="Arial" w:cs="Arial"/>
              </w:rPr>
              <w:t>To develop a forward work programme aligned to the work o</w:t>
            </w:r>
            <w:r w:rsidR="00B96417">
              <w:rPr>
                <w:rFonts w:ascii="Arial" w:hAnsi="Arial" w:cs="Arial"/>
              </w:rPr>
              <w:t>f</w:t>
            </w:r>
            <w:r w:rsidRPr="00045702">
              <w:rPr>
                <w:rFonts w:ascii="Arial" w:hAnsi="Arial" w:cs="Arial"/>
              </w:rPr>
              <w:t xml:space="preserve"> the PSB</w:t>
            </w:r>
            <w:r w:rsidR="00B96417">
              <w:rPr>
                <w:rFonts w:ascii="Arial" w:hAnsi="Arial" w:cs="Arial"/>
              </w:rPr>
              <w:t>, its</w:t>
            </w:r>
            <w:r w:rsidRPr="00045702">
              <w:rPr>
                <w:rFonts w:ascii="Arial" w:hAnsi="Arial" w:cs="Arial"/>
              </w:rPr>
              <w:t xml:space="preserve"> and related delivery plans; and </w:t>
            </w:r>
          </w:p>
          <w:p w14:paraId="742A21F9" w14:textId="66572675" w:rsidR="00EB1C44" w:rsidRDefault="00045702" w:rsidP="00EB1C44">
            <w:pPr>
              <w:pStyle w:val="ListParagraph"/>
              <w:numPr>
                <w:ilvl w:val="0"/>
                <w:numId w:val="26"/>
              </w:numPr>
              <w:rPr>
                <w:rFonts w:ascii="Arial" w:hAnsi="Arial" w:cs="Arial"/>
              </w:rPr>
            </w:pPr>
            <w:r w:rsidRPr="00045702">
              <w:rPr>
                <w:rFonts w:ascii="Arial" w:hAnsi="Arial" w:cs="Arial"/>
              </w:rPr>
              <w:t xml:space="preserve">Members of the Board to attend Scrutiny Committee meetings </w:t>
            </w:r>
            <w:proofErr w:type="gramStart"/>
            <w:r w:rsidRPr="00045702">
              <w:rPr>
                <w:rFonts w:ascii="Arial" w:hAnsi="Arial" w:cs="Arial"/>
              </w:rPr>
              <w:t>in order to</w:t>
            </w:r>
            <w:proofErr w:type="gramEnd"/>
            <w:r w:rsidRPr="00045702">
              <w:rPr>
                <w:rFonts w:ascii="Arial" w:hAnsi="Arial" w:cs="Arial"/>
              </w:rPr>
              <w:t xml:space="preserve"> present reports when required</w:t>
            </w:r>
            <w:r>
              <w:rPr>
                <w:rFonts w:ascii="Arial" w:hAnsi="Arial" w:cs="Arial"/>
              </w:rPr>
              <w:t>.</w:t>
            </w:r>
          </w:p>
          <w:p w14:paraId="0438A57D" w14:textId="77777777" w:rsidR="00EB1C44" w:rsidRDefault="00EB1C44" w:rsidP="00EB1C44">
            <w:pPr>
              <w:rPr>
                <w:rFonts w:ascii="Arial" w:hAnsi="Arial" w:cs="Arial"/>
              </w:rPr>
            </w:pPr>
          </w:p>
          <w:p w14:paraId="77A64454" w14:textId="77777777" w:rsidR="00EB1C44" w:rsidRDefault="00EB1C44" w:rsidP="00EB1C44">
            <w:pPr>
              <w:rPr>
                <w:rFonts w:ascii="Arial" w:hAnsi="Arial" w:cs="Arial"/>
              </w:rPr>
            </w:pPr>
          </w:p>
          <w:p w14:paraId="2F1533F8" w14:textId="6B24DFA7" w:rsidR="00EB1C44" w:rsidRPr="00EB1C44" w:rsidRDefault="00EB1C44" w:rsidP="00EB1C44">
            <w:pPr>
              <w:rPr>
                <w:rFonts w:ascii="Arial" w:hAnsi="Arial" w:cs="Arial"/>
                <w:b/>
                <w:bCs/>
              </w:rPr>
            </w:pPr>
            <w:r w:rsidRPr="00EB1C44">
              <w:rPr>
                <w:rFonts w:ascii="Arial" w:hAnsi="Arial" w:cs="Arial"/>
                <w:b/>
                <w:bCs/>
              </w:rPr>
              <w:t>Background Documents</w:t>
            </w:r>
          </w:p>
          <w:p w14:paraId="3C8991AF" w14:textId="77777777" w:rsidR="00024BA3" w:rsidRDefault="00024BA3" w:rsidP="00024BA3">
            <w:pPr>
              <w:rPr>
                <w:rFonts w:ascii="Arial" w:hAnsi="Arial" w:cs="Arial"/>
              </w:rPr>
            </w:pPr>
          </w:p>
          <w:p w14:paraId="58E46137" w14:textId="01671D7F" w:rsidR="00EB1C44" w:rsidRPr="002D3C00" w:rsidRDefault="00EB1C44" w:rsidP="00024BA3">
            <w:pPr>
              <w:rPr>
                <w:rFonts w:ascii="Arial" w:hAnsi="Arial" w:cs="Arial"/>
              </w:rPr>
            </w:pPr>
            <w:r>
              <w:rPr>
                <w:rFonts w:ascii="Arial" w:hAnsi="Arial" w:cs="Arial"/>
              </w:rPr>
              <w:t>Appendix 1: Gwent PSB Scrutiny Committee Terms of Reference</w:t>
            </w:r>
          </w:p>
        </w:tc>
      </w:tr>
      <w:tr w:rsidR="00024BA3" w14:paraId="0E092D91" w14:textId="77777777" w:rsidTr="00CF670C">
        <w:tc>
          <w:tcPr>
            <w:tcW w:w="645" w:type="dxa"/>
          </w:tcPr>
          <w:p w14:paraId="133731D8" w14:textId="77777777" w:rsidR="00024BA3" w:rsidRPr="28E75779" w:rsidRDefault="00024BA3" w:rsidP="00024BA3">
            <w:pPr>
              <w:rPr>
                <w:rFonts w:ascii="Arial" w:hAnsi="Arial" w:cs="Arial"/>
                <w:sz w:val="22"/>
                <w:szCs w:val="22"/>
              </w:rPr>
            </w:pPr>
          </w:p>
        </w:tc>
        <w:tc>
          <w:tcPr>
            <w:tcW w:w="8706" w:type="dxa"/>
          </w:tcPr>
          <w:p w14:paraId="477FD488" w14:textId="5D3FB30A" w:rsidR="00024BA3" w:rsidRPr="00D02AA5" w:rsidRDefault="00024BA3" w:rsidP="00024BA3">
            <w:pPr>
              <w:rPr>
                <w:rFonts w:ascii="Arial" w:hAnsi="Arial" w:cs="Arial"/>
              </w:rPr>
            </w:pPr>
          </w:p>
        </w:tc>
      </w:tr>
    </w:tbl>
    <w:p w14:paraId="13AEC7F6" w14:textId="77777777" w:rsidR="00BF34A5" w:rsidRDefault="00BF34A5" w:rsidP="2D479C8F">
      <w:pPr>
        <w:rPr>
          <w:i/>
          <w:iCs/>
        </w:rPr>
      </w:pPr>
      <w:bookmarkStart w:id="1" w:name="_MON_1684058292"/>
      <w:bookmarkStart w:id="2" w:name="_MON_1683375776"/>
      <w:bookmarkStart w:id="3" w:name="_MON_1682430729"/>
      <w:bookmarkEnd w:id="1"/>
      <w:bookmarkEnd w:id="2"/>
      <w:bookmarkEnd w:id="3"/>
    </w:p>
    <w:p w14:paraId="0EDD5FF8" w14:textId="74FF5B28" w:rsidR="00D20EE5" w:rsidRPr="00D20EE5" w:rsidRDefault="00D20EE5" w:rsidP="2D479C8F">
      <w:pPr>
        <w:rPr>
          <w:rFonts w:ascii="Arial" w:hAnsi="Arial" w:cs="Arial"/>
          <w:sz w:val="22"/>
          <w:szCs w:val="22"/>
        </w:rPr>
      </w:pPr>
    </w:p>
    <w:sectPr w:rsidR="00D20EE5" w:rsidRPr="00D20EE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54DF3" w14:textId="77777777" w:rsidR="00602531" w:rsidRDefault="00602531" w:rsidP="003F0B5F">
      <w:r>
        <w:separator/>
      </w:r>
    </w:p>
  </w:endnote>
  <w:endnote w:type="continuationSeparator" w:id="0">
    <w:p w14:paraId="7ADACB78" w14:textId="77777777" w:rsidR="00602531" w:rsidRDefault="00602531" w:rsidP="003F0B5F">
      <w:r>
        <w:continuationSeparator/>
      </w:r>
    </w:p>
  </w:endnote>
  <w:endnote w:type="continuationNotice" w:id="1">
    <w:p w14:paraId="02F4E33D" w14:textId="77777777" w:rsidR="00602531" w:rsidRDefault="00602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89899" w14:textId="77777777" w:rsidR="00602531" w:rsidRDefault="00602531" w:rsidP="003F0B5F">
      <w:r>
        <w:separator/>
      </w:r>
    </w:p>
  </w:footnote>
  <w:footnote w:type="continuationSeparator" w:id="0">
    <w:p w14:paraId="748D6397" w14:textId="77777777" w:rsidR="00602531" w:rsidRDefault="00602531" w:rsidP="003F0B5F">
      <w:r>
        <w:continuationSeparator/>
      </w:r>
    </w:p>
  </w:footnote>
  <w:footnote w:type="continuationNotice" w:id="1">
    <w:p w14:paraId="7F06B6F9" w14:textId="77777777" w:rsidR="00602531" w:rsidRDefault="006025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34AA2" w14:textId="566D1734" w:rsidR="00CF670C" w:rsidRDefault="00CF670C">
    <w:pPr>
      <w:pStyle w:val="Header"/>
    </w:pPr>
    <w:r>
      <w:rPr>
        <w:rFonts w:ascii="Arial" w:hAnsi="Arial" w:cs="Arial"/>
        <w:noProof/>
      </w:rPr>
      <w:drawing>
        <wp:inline distT="0" distB="0" distL="0" distR="0" wp14:anchorId="322004FA" wp14:editId="116BB18E">
          <wp:extent cx="2141149" cy="889401"/>
          <wp:effectExtent l="0" t="0" r="0" b="6350"/>
          <wp:docPr id="1" name="Picture 1" descr="Gwent P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went PSB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2508" cy="906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7BD"/>
    <w:multiLevelType w:val="hybridMultilevel"/>
    <w:tmpl w:val="79FAD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767C72"/>
    <w:multiLevelType w:val="hybridMultilevel"/>
    <w:tmpl w:val="2AD6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F327C"/>
    <w:multiLevelType w:val="hybridMultilevel"/>
    <w:tmpl w:val="D9E83A7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C677AE"/>
    <w:multiLevelType w:val="hybridMultilevel"/>
    <w:tmpl w:val="88E64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60828"/>
    <w:multiLevelType w:val="hybridMultilevel"/>
    <w:tmpl w:val="BC72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97D4D"/>
    <w:multiLevelType w:val="hybridMultilevel"/>
    <w:tmpl w:val="E654DD36"/>
    <w:lvl w:ilvl="0" w:tplc="B24CBCC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5A702A"/>
    <w:multiLevelType w:val="hybridMultilevel"/>
    <w:tmpl w:val="A7201E3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37B2969"/>
    <w:multiLevelType w:val="hybridMultilevel"/>
    <w:tmpl w:val="B944EC86"/>
    <w:lvl w:ilvl="0" w:tplc="08090001">
      <w:start w:val="1"/>
      <w:numFmt w:val="bullet"/>
      <w:lvlText w:val=""/>
      <w:lvlJc w:val="left"/>
      <w:pPr>
        <w:ind w:left="720" w:hanging="360"/>
      </w:pPr>
      <w:rPr>
        <w:rFonts w:ascii="Symbol" w:hAnsi="Symbol" w:hint="default"/>
      </w:rPr>
    </w:lvl>
    <w:lvl w:ilvl="1" w:tplc="8802522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C021F"/>
    <w:multiLevelType w:val="hybridMultilevel"/>
    <w:tmpl w:val="2BFA9600"/>
    <w:lvl w:ilvl="0" w:tplc="28ACD67E">
      <w:start w:val="1"/>
      <w:numFmt w:val="bullet"/>
      <w:lvlText w:val=""/>
      <w:lvlJc w:val="left"/>
      <w:pPr>
        <w:ind w:left="720" w:hanging="360"/>
      </w:pPr>
      <w:rPr>
        <w:rFonts w:ascii="Symbol" w:hAnsi="Symbol" w:hint="default"/>
      </w:rPr>
    </w:lvl>
    <w:lvl w:ilvl="1" w:tplc="616E333A">
      <w:start w:val="1"/>
      <w:numFmt w:val="bullet"/>
      <w:lvlText w:val="o"/>
      <w:lvlJc w:val="left"/>
      <w:pPr>
        <w:ind w:left="1440" w:hanging="360"/>
      </w:pPr>
      <w:rPr>
        <w:rFonts w:ascii="Courier New" w:hAnsi="Courier New" w:hint="default"/>
      </w:rPr>
    </w:lvl>
    <w:lvl w:ilvl="2" w:tplc="BAE4459E">
      <w:start w:val="1"/>
      <w:numFmt w:val="bullet"/>
      <w:lvlText w:val=""/>
      <w:lvlJc w:val="left"/>
      <w:pPr>
        <w:ind w:left="2160" w:hanging="360"/>
      </w:pPr>
      <w:rPr>
        <w:rFonts w:ascii="Wingdings" w:hAnsi="Wingdings" w:hint="default"/>
      </w:rPr>
    </w:lvl>
    <w:lvl w:ilvl="3" w:tplc="22D0FFAC">
      <w:start w:val="1"/>
      <w:numFmt w:val="bullet"/>
      <w:lvlText w:val=""/>
      <w:lvlJc w:val="left"/>
      <w:pPr>
        <w:ind w:left="2880" w:hanging="360"/>
      </w:pPr>
      <w:rPr>
        <w:rFonts w:ascii="Symbol" w:hAnsi="Symbol" w:hint="default"/>
      </w:rPr>
    </w:lvl>
    <w:lvl w:ilvl="4" w:tplc="00121ABE">
      <w:start w:val="1"/>
      <w:numFmt w:val="bullet"/>
      <w:lvlText w:val="o"/>
      <w:lvlJc w:val="left"/>
      <w:pPr>
        <w:ind w:left="3600" w:hanging="360"/>
      </w:pPr>
      <w:rPr>
        <w:rFonts w:ascii="Courier New" w:hAnsi="Courier New" w:hint="default"/>
      </w:rPr>
    </w:lvl>
    <w:lvl w:ilvl="5" w:tplc="7326D22A">
      <w:start w:val="1"/>
      <w:numFmt w:val="bullet"/>
      <w:lvlText w:val=""/>
      <w:lvlJc w:val="left"/>
      <w:pPr>
        <w:ind w:left="4320" w:hanging="360"/>
      </w:pPr>
      <w:rPr>
        <w:rFonts w:ascii="Wingdings" w:hAnsi="Wingdings" w:hint="default"/>
      </w:rPr>
    </w:lvl>
    <w:lvl w:ilvl="6" w:tplc="536474A0">
      <w:start w:val="1"/>
      <w:numFmt w:val="bullet"/>
      <w:lvlText w:val=""/>
      <w:lvlJc w:val="left"/>
      <w:pPr>
        <w:ind w:left="5040" w:hanging="360"/>
      </w:pPr>
      <w:rPr>
        <w:rFonts w:ascii="Symbol" w:hAnsi="Symbol" w:hint="default"/>
      </w:rPr>
    </w:lvl>
    <w:lvl w:ilvl="7" w:tplc="B1DCD672">
      <w:start w:val="1"/>
      <w:numFmt w:val="bullet"/>
      <w:lvlText w:val="o"/>
      <w:lvlJc w:val="left"/>
      <w:pPr>
        <w:ind w:left="5760" w:hanging="360"/>
      </w:pPr>
      <w:rPr>
        <w:rFonts w:ascii="Courier New" w:hAnsi="Courier New" w:hint="default"/>
      </w:rPr>
    </w:lvl>
    <w:lvl w:ilvl="8" w:tplc="7CC4F1B2">
      <w:start w:val="1"/>
      <w:numFmt w:val="bullet"/>
      <w:lvlText w:val=""/>
      <w:lvlJc w:val="left"/>
      <w:pPr>
        <w:ind w:left="6480" w:hanging="360"/>
      </w:pPr>
      <w:rPr>
        <w:rFonts w:ascii="Wingdings" w:hAnsi="Wingdings" w:hint="default"/>
      </w:rPr>
    </w:lvl>
  </w:abstractNum>
  <w:abstractNum w:abstractNumId="9" w15:restartNumberingAfterBreak="0">
    <w:nsid w:val="386F455F"/>
    <w:multiLevelType w:val="hybridMultilevel"/>
    <w:tmpl w:val="0874CD6A"/>
    <w:lvl w:ilvl="0" w:tplc="CCFA0F7A">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E0401"/>
    <w:multiLevelType w:val="hybridMultilevel"/>
    <w:tmpl w:val="8D0A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D7F06"/>
    <w:multiLevelType w:val="hybridMultilevel"/>
    <w:tmpl w:val="2D98A768"/>
    <w:lvl w:ilvl="0" w:tplc="5392955A">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51808"/>
    <w:multiLevelType w:val="hybridMultilevel"/>
    <w:tmpl w:val="336E9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71F36"/>
    <w:multiLevelType w:val="hybridMultilevel"/>
    <w:tmpl w:val="080AB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406EAF"/>
    <w:multiLevelType w:val="hybridMultilevel"/>
    <w:tmpl w:val="CC544608"/>
    <w:lvl w:ilvl="0" w:tplc="E6608FA8">
      <w:numFmt w:val="bullet"/>
      <w:lvlText w:val="•"/>
      <w:lvlJc w:val="left"/>
      <w:pPr>
        <w:ind w:left="1080" w:hanging="360"/>
      </w:pPr>
      <w:rPr>
        <w:rFonts w:ascii="Calibri" w:eastAsiaTheme="minorHAnsi" w:hAnsi="Calibri" w:cs="Calibri" w:hint="default"/>
        <w:color w:val="auto"/>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A13072"/>
    <w:multiLevelType w:val="hybridMultilevel"/>
    <w:tmpl w:val="6A0E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C3DEC"/>
    <w:multiLevelType w:val="hybridMultilevel"/>
    <w:tmpl w:val="B1A6D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FAF2E8F"/>
    <w:multiLevelType w:val="hybridMultilevel"/>
    <w:tmpl w:val="6D249D7E"/>
    <w:lvl w:ilvl="0" w:tplc="FFFFFFFF">
      <w:start w:val="1"/>
      <w:numFmt w:val="bullet"/>
      <w:lvlText w:val=""/>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F3301F8"/>
    <w:multiLevelType w:val="hybridMultilevel"/>
    <w:tmpl w:val="FFFFFFFF"/>
    <w:lvl w:ilvl="0" w:tplc="87404418">
      <w:start w:val="1"/>
      <w:numFmt w:val="bullet"/>
      <w:lvlText w:val="·"/>
      <w:lvlJc w:val="left"/>
      <w:pPr>
        <w:ind w:left="720" w:hanging="360"/>
      </w:pPr>
      <w:rPr>
        <w:rFonts w:ascii="Symbol" w:hAnsi="Symbol" w:hint="default"/>
      </w:rPr>
    </w:lvl>
    <w:lvl w:ilvl="1" w:tplc="D400943E">
      <w:start w:val="1"/>
      <w:numFmt w:val="bullet"/>
      <w:lvlText w:val="o"/>
      <w:lvlJc w:val="left"/>
      <w:pPr>
        <w:ind w:left="1440" w:hanging="360"/>
      </w:pPr>
      <w:rPr>
        <w:rFonts w:ascii="Courier New" w:hAnsi="Courier New" w:hint="default"/>
      </w:rPr>
    </w:lvl>
    <w:lvl w:ilvl="2" w:tplc="B90EC438">
      <w:start w:val="1"/>
      <w:numFmt w:val="bullet"/>
      <w:lvlText w:val=""/>
      <w:lvlJc w:val="left"/>
      <w:pPr>
        <w:ind w:left="2160" w:hanging="360"/>
      </w:pPr>
      <w:rPr>
        <w:rFonts w:ascii="Wingdings" w:hAnsi="Wingdings" w:hint="default"/>
      </w:rPr>
    </w:lvl>
    <w:lvl w:ilvl="3" w:tplc="27C297B6">
      <w:start w:val="1"/>
      <w:numFmt w:val="bullet"/>
      <w:lvlText w:val=""/>
      <w:lvlJc w:val="left"/>
      <w:pPr>
        <w:ind w:left="2880" w:hanging="360"/>
      </w:pPr>
      <w:rPr>
        <w:rFonts w:ascii="Symbol" w:hAnsi="Symbol" w:hint="default"/>
      </w:rPr>
    </w:lvl>
    <w:lvl w:ilvl="4" w:tplc="C81A2126">
      <w:start w:val="1"/>
      <w:numFmt w:val="bullet"/>
      <w:lvlText w:val="o"/>
      <w:lvlJc w:val="left"/>
      <w:pPr>
        <w:ind w:left="3600" w:hanging="360"/>
      </w:pPr>
      <w:rPr>
        <w:rFonts w:ascii="Courier New" w:hAnsi="Courier New" w:hint="default"/>
      </w:rPr>
    </w:lvl>
    <w:lvl w:ilvl="5" w:tplc="13006DBA">
      <w:start w:val="1"/>
      <w:numFmt w:val="bullet"/>
      <w:lvlText w:val=""/>
      <w:lvlJc w:val="left"/>
      <w:pPr>
        <w:ind w:left="4320" w:hanging="360"/>
      </w:pPr>
      <w:rPr>
        <w:rFonts w:ascii="Wingdings" w:hAnsi="Wingdings" w:hint="default"/>
      </w:rPr>
    </w:lvl>
    <w:lvl w:ilvl="6" w:tplc="08F29698">
      <w:start w:val="1"/>
      <w:numFmt w:val="bullet"/>
      <w:lvlText w:val=""/>
      <w:lvlJc w:val="left"/>
      <w:pPr>
        <w:ind w:left="5040" w:hanging="360"/>
      </w:pPr>
      <w:rPr>
        <w:rFonts w:ascii="Symbol" w:hAnsi="Symbol" w:hint="default"/>
      </w:rPr>
    </w:lvl>
    <w:lvl w:ilvl="7" w:tplc="CC30CDF6">
      <w:start w:val="1"/>
      <w:numFmt w:val="bullet"/>
      <w:lvlText w:val="o"/>
      <w:lvlJc w:val="left"/>
      <w:pPr>
        <w:ind w:left="5760" w:hanging="360"/>
      </w:pPr>
      <w:rPr>
        <w:rFonts w:ascii="Courier New" w:hAnsi="Courier New" w:hint="default"/>
      </w:rPr>
    </w:lvl>
    <w:lvl w:ilvl="8" w:tplc="F8B83EA2">
      <w:start w:val="1"/>
      <w:numFmt w:val="bullet"/>
      <w:lvlText w:val=""/>
      <w:lvlJc w:val="left"/>
      <w:pPr>
        <w:ind w:left="6480" w:hanging="360"/>
      </w:pPr>
      <w:rPr>
        <w:rFonts w:ascii="Wingdings" w:hAnsi="Wingdings" w:hint="default"/>
      </w:rPr>
    </w:lvl>
  </w:abstractNum>
  <w:abstractNum w:abstractNumId="19" w15:restartNumberingAfterBreak="0">
    <w:nsid w:val="64FB4C8D"/>
    <w:multiLevelType w:val="hybridMultilevel"/>
    <w:tmpl w:val="1154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C7F74"/>
    <w:multiLevelType w:val="hybridMultilevel"/>
    <w:tmpl w:val="BAFE2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BD3F42"/>
    <w:multiLevelType w:val="hybridMultilevel"/>
    <w:tmpl w:val="91B41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2" w15:restartNumberingAfterBreak="0">
    <w:nsid w:val="69221B5B"/>
    <w:multiLevelType w:val="hybridMultilevel"/>
    <w:tmpl w:val="CFAECEC6"/>
    <w:lvl w:ilvl="0" w:tplc="303CBE5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9D7835"/>
    <w:multiLevelType w:val="hybridMultilevel"/>
    <w:tmpl w:val="9330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106E6"/>
    <w:multiLevelType w:val="hybridMultilevel"/>
    <w:tmpl w:val="4C3CE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310E56"/>
    <w:multiLevelType w:val="hybridMultilevel"/>
    <w:tmpl w:val="412C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503678">
    <w:abstractNumId w:val="8"/>
  </w:num>
  <w:num w:numId="2" w16cid:durableId="1880511937">
    <w:abstractNumId w:val="3"/>
  </w:num>
  <w:num w:numId="3" w16cid:durableId="1316883465">
    <w:abstractNumId w:val="12"/>
  </w:num>
  <w:num w:numId="4" w16cid:durableId="1204274">
    <w:abstractNumId w:val="21"/>
  </w:num>
  <w:num w:numId="5" w16cid:durableId="12996109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3202796">
    <w:abstractNumId w:val="1"/>
  </w:num>
  <w:num w:numId="7" w16cid:durableId="1237327051">
    <w:abstractNumId w:val="15"/>
  </w:num>
  <w:num w:numId="8" w16cid:durableId="1049836502">
    <w:abstractNumId w:val="4"/>
  </w:num>
  <w:num w:numId="9" w16cid:durableId="181893818">
    <w:abstractNumId w:val="7"/>
  </w:num>
  <w:num w:numId="10" w16cid:durableId="1826704567">
    <w:abstractNumId w:val="23"/>
  </w:num>
  <w:num w:numId="11" w16cid:durableId="608707701">
    <w:abstractNumId w:val="10"/>
  </w:num>
  <w:num w:numId="12" w16cid:durableId="514540417">
    <w:abstractNumId w:val="22"/>
  </w:num>
  <w:num w:numId="13" w16cid:durableId="1164856717">
    <w:abstractNumId w:val="0"/>
  </w:num>
  <w:num w:numId="14" w16cid:durableId="454718632">
    <w:abstractNumId w:val="9"/>
  </w:num>
  <w:num w:numId="15" w16cid:durableId="80681029">
    <w:abstractNumId w:val="18"/>
  </w:num>
  <w:num w:numId="16" w16cid:durableId="2064134312">
    <w:abstractNumId w:val="11"/>
  </w:num>
  <w:num w:numId="17" w16cid:durableId="889924757">
    <w:abstractNumId w:val="19"/>
  </w:num>
  <w:num w:numId="18" w16cid:durableId="1870028888">
    <w:abstractNumId w:val="14"/>
  </w:num>
  <w:num w:numId="19" w16cid:durableId="636107274">
    <w:abstractNumId w:val="16"/>
  </w:num>
  <w:num w:numId="20" w16cid:durableId="2053382369">
    <w:abstractNumId w:val="2"/>
  </w:num>
  <w:num w:numId="21" w16cid:durableId="645862606">
    <w:abstractNumId w:val="6"/>
  </w:num>
  <w:num w:numId="22" w16cid:durableId="1150176707">
    <w:abstractNumId w:val="13"/>
  </w:num>
  <w:num w:numId="23" w16cid:durableId="746222735">
    <w:abstractNumId w:val="5"/>
  </w:num>
  <w:num w:numId="24" w16cid:durableId="107431996">
    <w:abstractNumId w:val="25"/>
  </w:num>
  <w:num w:numId="25" w16cid:durableId="7559015">
    <w:abstractNumId w:val="20"/>
  </w:num>
  <w:num w:numId="26" w16cid:durableId="38825997">
    <w:abstractNumId w:val="24"/>
  </w:num>
  <w:num w:numId="27" w16cid:durableId="8178423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8D"/>
    <w:rsid w:val="000077F2"/>
    <w:rsid w:val="00014912"/>
    <w:rsid w:val="00024BA3"/>
    <w:rsid w:val="0002537B"/>
    <w:rsid w:val="000363CF"/>
    <w:rsid w:val="0004162E"/>
    <w:rsid w:val="00045702"/>
    <w:rsid w:val="000545DB"/>
    <w:rsid w:val="000576F6"/>
    <w:rsid w:val="0007738D"/>
    <w:rsid w:val="00085105"/>
    <w:rsid w:val="00093546"/>
    <w:rsid w:val="000B428D"/>
    <w:rsid w:val="000B68F6"/>
    <w:rsid w:val="0010073D"/>
    <w:rsid w:val="001173CC"/>
    <w:rsid w:val="0012248C"/>
    <w:rsid w:val="00145D93"/>
    <w:rsid w:val="001469BC"/>
    <w:rsid w:val="001479EB"/>
    <w:rsid w:val="00164477"/>
    <w:rsid w:val="00167A84"/>
    <w:rsid w:val="001A588D"/>
    <w:rsid w:val="001A75CE"/>
    <w:rsid w:val="001C34F9"/>
    <w:rsid w:val="001C6B43"/>
    <w:rsid w:val="001D2310"/>
    <w:rsid w:val="001D2867"/>
    <w:rsid w:val="001D6DB0"/>
    <w:rsid w:val="001E495A"/>
    <w:rsid w:val="001E4AA7"/>
    <w:rsid w:val="001EE949"/>
    <w:rsid w:val="00211289"/>
    <w:rsid w:val="00212AC9"/>
    <w:rsid w:val="00225679"/>
    <w:rsid w:val="00230A2D"/>
    <w:rsid w:val="00240B06"/>
    <w:rsid w:val="0025175A"/>
    <w:rsid w:val="00273BD5"/>
    <w:rsid w:val="00291B6C"/>
    <w:rsid w:val="002A0AFD"/>
    <w:rsid w:val="002D3C00"/>
    <w:rsid w:val="002E6384"/>
    <w:rsid w:val="002F5DFD"/>
    <w:rsid w:val="003020F1"/>
    <w:rsid w:val="00315EF4"/>
    <w:rsid w:val="00317EEE"/>
    <w:rsid w:val="0038003D"/>
    <w:rsid w:val="00381FD7"/>
    <w:rsid w:val="00393692"/>
    <w:rsid w:val="003A5D30"/>
    <w:rsid w:val="003D846A"/>
    <w:rsid w:val="003F0B5F"/>
    <w:rsid w:val="00417C71"/>
    <w:rsid w:val="00417D89"/>
    <w:rsid w:val="0043054B"/>
    <w:rsid w:val="00430B04"/>
    <w:rsid w:val="004426E7"/>
    <w:rsid w:val="00447271"/>
    <w:rsid w:val="0045008C"/>
    <w:rsid w:val="0045777C"/>
    <w:rsid w:val="004A356A"/>
    <w:rsid w:val="004B0A9A"/>
    <w:rsid w:val="004C71C3"/>
    <w:rsid w:val="004D6653"/>
    <w:rsid w:val="005008D7"/>
    <w:rsid w:val="00502E8F"/>
    <w:rsid w:val="00507947"/>
    <w:rsid w:val="00526927"/>
    <w:rsid w:val="00545E86"/>
    <w:rsid w:val="00554D10"/>
    <w:rsid w:val="0055791C"/>
    <w:rsid w:val="00597D4C"/>
    <w:rsid w:val="005D04A7"/>
    <w:rsid w:val="005E7450"/>
    <w:rsid w:val="00602531"/>
    <w:rsid w:val="00615152"/>
    <w:rsid w:val="0061718B"/>
    <w:rsid w:val="00623E84"/>
    <w:rsid w:val="00653932"/>
    <w:rsid w:val="0065499C"/>
    <w:rsid w:val="00664EF3"/>
    <w:rsid w:val="00676E98"/>
    <w:rsid w:val="006920FF"/>
    <w:rsid w:val="00692286"/>
    <w:rsid w:val="006D7258"/>
    <w:rsid w:val="006E0646"/>
    <w:rsid w:val="00701099"/>
    <w:rsid w:val="00710556"/>
    <w:rsid w:val="00734609"/>
    <w:rsid w:val="00743420"/>
    <w:rsid w:val="007657A5"/>
    <w:rsid w:val="007666FA"/>
    <w:rsid w:val="00785C3D"/>
    <w:rsid w:val="007D2363"/>
    <w:rsid w:val="007D4909"/>
    <w:rsid w:val="007F754F"/>
    <w:rsid w:val="00800B7E"/>
    <w:rsid w:val="00812B91"/>
    <w:rsid w:val="00815FE6"/>
    <w:rsid w:val="008233E3"/>
    <w:rsid w:val="00866B8E"/>
    <w:rsid w:val="00867993"/>
    <w:rsid w:val="008C1A94"/>
    <w:rsid w:val="008C3009"/>
    <w:rsid w:val="008C734D"/>
    <w:rsid w:val="008F010B"/>
    <w:rsid w:val="00901F34"/>
    <w:rsid w:val="00910861"/>
    <w:rsid w:val="009168E1"/>
    <w:rsid w:val="00917F67"/>
    <w:rsid w:val="009310CA"/>
    <w:rsid w:val="00935187"/>
    <w:rsid w:val="00957E14"/>
    <w:rsid w:val="00965544"/>
    <w:rsid w:val="00977062"/>
    <w:rsid w:val="00987C5C"/>
    <w:rsid w:val="00990993"/>
    <w:rsid w:val="0099623A"/>
    <w:rsid w:val="009C120E"/>
    <w:rsid w:val="009C4909"/>
    <w:rsid w:val="009D4D10"/>
    <w:rsid w:val="009E3133"/>
    <w:rsid w:val="00A0184F"/>
    <w:rsid w:val="00A133B7"/>
    <w:rsid w:val="00A31D23"/>
    <w:rsid w:val="00A3245F"/>
    <w:rsid w:val="00A42F67"/>
    <w:rsid w:val="00A6251F"/>
    <w:rsid w:val="00A64FE7"/>
    <w:rsid w:val="00A7077C"/>
    <w:rsid w:val="00A8310A"/>
    <w:rsid w:val="00AB77C6"/>
    <w:rsid w:val="00AC721D"/>
    <w:rsid w:val="00AC7B16"/>
    <w:rsid w:val="00B23AA0"/>
    <w:rsid w:val="00B27A50"/>
    <w:rsid w:val="00B36045"/>
    <w:rsid w:val="00B43397"/>
    <w:rsid w:val="00B5233F"/>
    <w:rsid w:val="00B61E1A"/>
    <w:rsid w:val="00B66B31"/>
    <w:rsid w:val="00B70474"/>
    <w:rsid w:val="00B773AA"/>
    <w:rsid w:val="00B817EF"/>
    <w:rsid w:val="00B85108"/>
    <w:rsid w:val="00B92A78"/>
    <w:rsid w:val="00B96417"/>
    <w:rsid w:val="00B96675"/>
    <w:rsid w:val="00BC1509"/>
    <w:rsid w:val="00BC3F5C"/>
    <w:rsid w:val="00BE3AE6"/>
    <w:rsid w:val="00BF34A5"/>
    <w:rsid w:val="00BF4FC3"/>
    <w:rsid w:val="00BF7EC6"/>
    <w:rsid w:val="00C138F1"/>
    <w:rsid w:val="00C16A1E"/>
    <w:rsid w:val="00C60DFD"/>
    <w:rsid w:val="00C66E27"/>
    <w:rsid w:val="00CD68DC"/>
    <w:rsid w:val="00CF670C"/>
    <w:rsid w:val="00CF7706"/>
    <w:rsid w:val="00D00F49"/>
    <w:rsid w:val="00D02245"/>
    <w:rsid w:val="00D02AA5"/>
    <w:rsid w:val="00D20EE5"/>
    <w:rsid w:val="00D3F8BD"/>
    <w:rsid w:val="00D43AA9"/>
    <w:rsid w:val="00D50EE6"/>
    <w:rsid w:val="00D86A35"/>
    <w:rsid w:val="00D87CF0"/>
    <w:rsid w:val="00D976ED"/>
    <w:rsid w:val="00DA7EC9"/>
    <w:rsid w:val="00DB0D2B"/>
    <w:rsid w:val="00DC7040"/>
    <w:rsid w:val="00DD6D53"/>
    <w:rsid w:val="00DD6F3C"/>
    <w:rsid w:val="00DE4A49"/>
    <w:rsid w:val="00DF8D56"/>
    <w:rsid w:val="00E13AC4"/>
    <w:rsid w:val="00E41F90"/>
    <w:rsid w:val="00E476DB"/>
    <w:rsid w:val="00E82671"/>
    <w:rsid w:val="00E92489"/>
    <w:rsid w:val="00E9298B"/>
    <w:rsid w:val="00E93A51"/>
    <w:rsid w:val="00E9609F"/>
    <w:rsid w:val="00EA4E7A"/>
    <w:rsid w:val="00EB1C44"/>
    <w:rsid w:val="00EB33D5"/>
    <w:rsid w:val="00EC06F8"/>
    <w:rsid w:val="00EC5209"/>
    <w:rsid w:val="00EC541A"/>
    <w:rsid w:val="00EE69E7"/>
    <w:rsid w:val="00F06DD5"/>
    <w:rsid w:val="00F11FAE"/>
    <w:rsid w:val="00F16677"/>
    <w:rsid w:val="00F21A45"/>
    <w:rsid w:val="00F3340C"/>
    <w:rsid w:val="00F6A277"/>
    <w:rsid w:val="00F76097"/>
    <w:rsid w:val="00F80ADD"/>
    <w:rsid w:val="00F948AD"/>
    <w:rsid w:val="00FB2957"/>
    <w:rsid w:val="00FC1797"/>
    <w:rsid w:val="00FE7FB1"/>
    <w:rsid w:val="00FF6F4B"/>
    <w:rsid w:val="010024D9"/>
    <w:rsid w:val="016AC7E7"/>
    <w:rsid w:val="01C8C5B8"/>
    <w:rsid w:val="021E5898"/>
    <w:rsid w:val="0266B6A6"/>
    <w:rsid w:val="02D8F1A7"/>
    <w:rsid w:val="039AAC08"/>
    <w:rsid w:val="03C19F2B"/>
    <w:rsid w:val="03C3D399"/>
    <w:rsid w:val="03DA198F"/>
    <w:rsid w:val="03F72FB6"/>
    <w:rsid w:val="04A1FC5F"/>
    <w:rsid w:val="052967ED"/>
    <w:rsid w:val="0587BC99"/>
    <w:rsid w:val="064D2F9F"/>
    <w:rsid w:val="0683D19C"/>
    <w:rsid w:val="06A07781"/>
    <w:rsid w:val="06C698EA"/>
    <w:rsid w:val="07307551"/>
    <w:rsid w:val="07932308"/>
    <w:rsid w:val="07B4EC64"/>
    <w:rsid w:val="07C726ED"/>
    <w:rsid w:val="07E00125"/>
    <w:rsid w:val="08241749"/>
    <w:rsid w:val="0835483E"/>
    <w:rsid w:val="084BFE4C"/>
    <w:rsid w:val="085CE7FE"/>
    <w:rsid w:val="0867559F"/>
    <w:rsid w:val="087ECFCA"/>
    <w:rsid w:val="088820A1"/>
    <w:rsid w:val="08891009"/>
    <w:rsid w:val="088DD45B"/>
    <w:rsid w:val="08BA0330"/>
    <w:rsid w:val="08C28C92"/>
    <w:rsid w:val="090D21E4"/>
    <w:rsid w:val="09633855"/>
    <w:rsid w:val="09AAA264"/>
    <w:rsid w:val="0A1AA465"/>
    <w:rsid w:val="0A99A43B"/>
    <w:rsid w:val="0B3DF7DC"/>
    <w:rsid w:val="0B4753D7"/>
    <w:rsid w:val="0C424980"/>
    <w:rsid w:val="0C6AB896"/>
    <w:rsid w:val="0C9ABC5D"/>
    <w:rsid w:val="0CDE4892"/>
    <w:rsid w:val="0D3F3477"/>
    <w:rsid w:val="0D84B3FA"/>
    <w:rsid w:val="0E61A0FD"/>
    <w:rsid w:val="0E7DDF48"/>
    <w:rsid w:val="0E9CFCDF"/>
    <w:rsid w:val="0F12FAEE"/>
    <w:rsid w:val="0F1E198C"/>
    <w:rsid w:val="0F3C9311"/>
    <w:rsid w:val="0FC9DF20"/>
    <w:rsid w:val="106D6720"/>
    <w:rsid w:val="108A86A6"/>
    <w:rsid w:val="10A1FB03"/>
    <w:rsid w:val="10AFFAAF"/>
    <w:rsid w:val="1118F3C9"/>
    <w:rsid w:val="11625903"/>
    <w:rsid w:val="1175E886"/>
    <w:rsid w:val="11E6D708"/>
    <w:rsid w:val="121E5415"/>
    <w:rsid w:val="1223DDF8"/>
    <w:rsid w:val="126BCB93"/>
    <w:rsid w:val="12C08166"/>
    <w:rsid w:val="13274A0D"/>
    <w:rsid w:val="13681076"/>
    <w:rsid w:val="13D08702"/>
    <w:rsid w:val="13D8E4FA"/>
    <w:rsid w:val="1405EF67"/>
    <w:rsid w:val="14645352"/>
    <w:rsid w:val="14B91673"/>
    <w:rsid w:val="14E150BB"/>
    <w:rsid w:val="15007DCE"/>
    <w:rsid w:val="15240675"/>
    <w:rsid w:val="15848411"/>
    <w:rsid w:val="158CA36D"/>
    <w:rsid w:val="15E708CC"/>
    <w:rsid w:val="1673D637"/>
    <w:rsid w:val="1681412B"/>
    <w:rsid w:val="171CA92A"/>
    <w:rsid w:val="17227B55"/>
    <w:rsid w:val="1741CFC0"/>
    <w:rsid w:val="17584CC8"/>
    <w:rsid w:val="17A41474"/>
    <w:rsid w:val="188CA167"/>
    <w:rsid w:val="18C4442F"/>
    <w:rsid w:val="18DB9E6B"/>
    <w:rsid w:val="1928C59C"/>
    <w:rsid w:val="1969E4EC"/>
    <w:rsid w:val="19F27624"/>
    <w:rsid w:val="1A048F22"/>
    <w:rsid w:val="1A18408F"/>
    <w:rsid w:val="1A51C7E2"/>
    <w:rsid w:val="1A64B1E3"/>
    <w:rsid w:val="1A8CACE4"/>
    <w:rsid w:val="1AB57466"/>
    <w:rsid w:val="1B0C7908"/>
    <w:rsid w:val="1B30E72B"/>
    <w:rsid w:val="1B94D422"/>
    <w:rsid w:val="1BFB85D1"/>
    <w:rsid w:val="1C008244"/>
    <w:rsid w:val="1C023FED"/>
    <w:rsid w:val="1C026BFA"/>
    <w:rsid w:val="1C187D02"/>
    <w:rsid w:val="1C22AA84"/>
    <w:rsid w:val="1C5F5C56"/>
    <w:rsid w:val="1CAB2BAB"/>
    <w:rsid w:val="1CF5B0FB"/>
    <w:rsid w:val="1D55C88C"/>
    <w:rsid w:val="1DF917C5"/>
    <w:rsid w:val="1E732094"/>
    <w:rsid w:val="1ECC74E4"/>
    <w:rsid w:val="1FCCA403"/>
    <w:rsid w:val="1FD721C5"/>
    <w:rsid w:val="209D23F0"/>
    <w:rsid w:val="20E947A6"/>
    <w:rsid w:val="211DAFB3"/>
    <w:rsid w:val="21C1B28A"/>
    <w:rsid w:val="226C3FC0"/>
    <w:rsid w:val="227F1061"/>
    <w:rsid w:val="235C475F"/>
    <w:rsid w:val="2381A944"/>
    <w:rsid w:val="2471D294"/>
    <w:rsid w:val="249B500E"/>
    <w:rsid w:val="252A30A9"/>
    <w:rsid w:val="2563FA60"/>
    <w:rsid w:val="256CA168"/>
    <w:rsid w:val="25D6B6EF"/>
    <w:rsid w:val="261219EA"/>
    <w:rsid w:val="264C7E4E"/>
    <w:rsid w:val="26AE4C0A"/>
    <w:rsid w:val="26B2B158"/>
    <w:rsid w:val="27026718"/>
    <w:rsid w:val="27800022"/>
    <w:rsid w:val="27A15318"/>
    <w:rsid w:val="27AC8DBF"/>
    <w:rsid w:val="27BAC984"/>
    <w:rsid w:val="284CC909"/>
    <w:rsid w:val="28E75779"/>
    <w:rsid w:val="2906A9EC"/>
    <w:rsid w:val="2918E79B"/>
    <w:rsid w:val="297948FC"/>
    <w:rsid w:val="29CCC46F"/>
    <w:rsid w:val="29E21253"/>
    <w:rsid w:val="2A39F9FE"/>
    <w:rsid w:val="2A92DECD"/>
    <w:rsid w:val="2AA95CFA"/>
    <w:rsid w:val="2B014B74"/>
    <w:rsid w:val="2B81BD2D"/>
    <w:rsid w:val="2BABCC2E"/>
    <w:rsid w:val="2BBAE511"/>
    <w:rsid w:val="2BCD045D"/>
    <w:rsid w:val="2BF8DEC9"/>
    <w:rsid w:val="2CEBF69E"/>
    <w:rsid w:val="2D479C8F"/>
    <w:rsid w:val="2D58220C"/>
    <w:rsid w:val="2DC01A3A"/>
    <w:rsid w:val="2E1EA98A"/>
    <w:rsid w:val="2E50D0EA"/>
    <w:rsid w:val="2E716235"/>
    <w:rsid w:val="2E979C93"/>
    <w:rsid w:val="2EBB4034"/>
    <w:rsid w:val="2F39A6C3"/>
    <w:rsid w:val="2FEAC710"/>
    <w:rsid w:val="300F493C"/>
    <w:rsid w:val="301C24B7"/>
    <w:rsid w:val="303B0CFB"/>
    <w:rsid w:val="30552E50"/>
    <w:rsid w:val="308FC2CE"/>
    <w:rsid w:val="309C9C3F"/>
    <w:rsid w:val="30CB4DD8"/>
    <w:rsid w:val="30F3EB00"/>
    <w:rsid w:val="3108FB85"/>
    <w:rsid w:val="313FBDC2"/>
    <w:rsid w:val="3148F143"/>
    <w:rsid w:val="31A02717"/>
    <w:rsid w:val="31DFC3DA"/>
    <w:rsid w:val="31F0FEB1"/>
    <w:rsid w:val="326983A3"/>
    <w:rsid w:val="3279D86A"/>
    <w:rsid w:val="327CD8E3"/>
    <w:rsid w:val="34AD39A6"/>
    <w:rsid w:val="35047EB1"/>
    <w:rsid w:val="35428F46"/>
    <w:rsid w:val="3546514B"/>
    <w:rsid w:val="3553700B"/>
    <w:rsid w:val="364BB196"/>
    <w:rsid w:val="36652DFA"/>
    <w:rsid w:val="36E2D119"/>
    <w:rsid w:val="36E417C4"/>
    <w:rsid w:val="37132B25"/>
    <w:rsid w:val="371C6248"/>
    <w:rsid w:val="3743808B"/>
    <w:rsid w:val="3748C53F"/>
    <w:rsid w:val="374DD423"/>
    <w:rsid w:val="37504A06"/>
    <w:rsid w:val="3759BFCA"/>
    <w:rsid w:val="376B62A5"/>
    <w:rsid w:val="37B24CE0"/>
    <w:rsid w:val="37E93646"/>
    <w:rsid w:val="37F778EE"/>
    <w:rsid w:val="38162D9B"/>
    <w:rsid w:val="3833F34B"/>
    <w:rsid w:val="3862DF3F"/>
    <w:rsid w:val="38ACCC30"/>
    <w:rsid w:val="395E6BFC"/>
    <w:rsid w:val="3964158A"/>
    <w:rsid w:val="39FD80C6"/>
    <w:rsid w:val="3AFFE5EB"/>
    <w:rsid w:val="3B174419"/>
    <w:rsid w:val="3B3623FE"/>
    <w:rsid w:val="3B806983"/>
    <w:rsid w:val="3BA8C6C0"/>
    <w:rsid w:val="3BC53F04"/>
    <w:rsid w:val="3BF6A5A4"/>
    <w:rsid w:val="3C9D6D32"/>
    <w:rsid w:val="3D227681"/>
    <w:rsid w:val="3D3B71B9"/>
    <w:rsid w:val="3D490309"/>
    <w:rsid w:val="3D55C7A5"/>
    <w:rsid w:val="3DA33E62"/>
    <w:rsid w:val="3DAEB60D"/>
    <w:rsid w:val="3DD63E04"/>
    <w:rsid w:val="3DD6989C"/>
    <w:rsid w:val="3E5E0C0A"/>
    <w:rsid w:val="3E91910D"/>
    <w:rsid w:val="3F017E40"/>
    <w:rsid w:val="3FBA5394"/>
    <w:rsid w:val="400AB29B"/>
    <w:rsid w:val="400B0185"/>
    <w:rsid w:val="4052204B"/>
    <w:rsid w:val="4179464D"/>
    <w:rsid w:val="417E01F2"/>
    <w:rsid w:val="419651C3"/>
    <w:rsid w:val="41A0F96F"/>
    <w:rsid w:val="41A682FC"/>
    <w:rsid w:val="41C9D95C"/>
    <w:rsid w:val="42197B70"/>
    <w:rsid w:val="42419C7B"/>
    <w:rsid w:val="4274C7A5"/>
    <w:rsid w:val="434081BE"/>
    <w:rsid w:val="437539F5"/>
    <w:rsid w:val="4381A921"/>
    <w:rsid w:val="44AA04EB"/>
    <w:rsid w:val="45110A56"/>
    <w:rsid w:val="451C4A22"/>
    <w:rsid w:val="455DBE85"/>
    <w:rsid w:val="4561ECE7"/>
    <w:rsid w:val="4566E537"/>
    <w:rsid w:val="457A70C1"/>
    <w:rsid w:val="45A0265C"/>
    <w:rsid w:val="46254971"/>
    <w:rsid w:val="4652373B"/>
    <w:rsid w:val="46644DCB"/>
    <w:rsid w:val="4679ACD1"/>
    <w:rsid w:val="46A366FF"/>
    <w:rsid w:val="46CEC1B8"/>
    <w:rsid w:val="46E1985D"/>
    <w:rsid w:val="47623280"/>
    <w:rsid w:val="479E859F"/>
    <w:rsid w:val="47B52E34"/>
    <w:rsid w:val="47B94823"/>
    <w:rsid w:val="4853EE51"/>
    <w:rsid w:val="48B275EC"/>
    <w:rsid w:val="48CFC0C2"/>
    <w:rsid w:val="48FACFB1"/>
    <w:rsid w:val="495B51B7"/>
    <w:rsid w:val="49F23912"/>
    <w:rsid w:val="4A129DF6"/>
    <w:rsid w:val="4A849810"/>
    <w:rsid w:val="4AE2C985"/>
    <w:rsid w:val="4B4B93A3"/>
    <w:rsid w:val="4B64BC00"/>
    <w:rsid w:val="4B67D3AB"/>
    <w:rsid w:val="4B89A55D"/>
    <w:rsid w:val="4B8B8F13"/>
    <w:rsid w:val="4B912D41"/>
    <w:rsid w:val="4BA09C2B"/>
    <w:rsid w:val="4BC4DEB7"/>
    <w:rsid w:val="4BF83F61"/>
    <w:rsid w:val="4C0830BE"/>
    <w:rsid w:val="4C28D003"/>
    <w:rsid w:val="4C776480"/>
    <w:rsid w:val="4D2BD9ED"/>
    <w:rsid w:val="4DC2FEBD"/>
    <w:rsid w:val="4DD7EEE3"/>
    <w:rsid w:val="4E1334E1"/>
    <w:rsid w:val="4E149E19"/>
    <w:rsid w:val="4E2D248A"/>
    <w:rsid w:val="4E7D8640"/>
    <w:rsid w:val="4E833465"/>
    <w:rsid w:val="4ED08AA4"/>
    <w:rsid w:val="4EDBA27E"/>
    <w:rsid w:val="4EF02A5A"/>
    <w:rsid w:val="4EF411E9"/>
    <w:rsid w:val="4F3A9BB4"/>
    <w:rsid w:val="4F5DC08D"/>
    <w:rsid w:val="4F8B9999"/>
    <w:rsid w:val="4FDD09DE"/>
    <w:rsid w:val="5175B397"/>
    <w:rsid w:val="518D27FD"/>
    <w:rsid w:val="51BAD527"/>
    <w:rsid w:val="5207D123"/>
    <w:rsid w:val="52261E8C"/>
    <w:rsid w:val="52B03C0D"/>
    <w:rsid w:val="52E22B9A"/>
    <w:rsid w:val="52E683C9"/>
    <w:rsid w:val="537CBDFB"/>
    <w:rsid w:val="538E2CAD"/>
    <w:rsid w:val="5422E084"/>
    <w:rsid w:val="544A687B"/>
    <w:rsid w:val="546B7F92"/>
    <w:rsid w:val="54E4C33E"/>
    <w:rsid w:val="55066311"/>
    <w:rsid w:val="551C878E"/>
    <w:rsid w:val="55201AF9"/>
    <w:rsid w:val="5534C840"/>
    <w:rsid w:val="553787C1"/>
    <w:rsid w:val="559E81F1"/>
    <w:rsid w:val="55B970B6"/>
    <w:rsid w:val="55BEB0E5"/>
    <w:rsid w:val="55E638DC"/>
    <w:rsid w:val="56617E24"/>
    <w:rsid w:val="56A1E3C1"/>
    <w:rsid w:val="56A423FA"/>
    <w:rsid w:val="56A51137"/>
    <w:rsid w:val="56B32F60"/>
    <w:rsid w:val="57388AAB"/>
    <w:rsid w:val="5742239A"/>
    <w:rsid w:val="58208C48"/>
    <w:rsid w:val="5895E784"/>
    <w:rsid w:val="58C305F0"/>
    <w:rsid w:val="58F38F2B"/>
    <w:rsid w:val="58F65265"/>
    <w:rsid w:val="58FB023C"/>
    <w:rsid w:val="5914B584"/>
    <w:rsid w:val="5946701C"/>
    <w:rsid w:val="5955E788"/>
    <w:rsid w:val="59BD61AA"/>
    <w:rsid w:val="59D4C789"/>
    <w:rsid w:val="5A38D44B"/>
    <w:rsid w:val="5A79DE0F"/>
    <w:rsid w:val="5B21EE08"/>
    <w:rsid w:val="5B8E7ECD"/>
    <w:rsid w:val="5BB33964"/>
    <w:rsid w:val="5C1EC84E"/>
    <w:rsid w:val="5C3DFCDE"/>
    <w:rsid w:val="5C780B2D"/>
    <w:rsid w:val="5C7AC7A5"/>
    <w:rsid w:val="5CFA8B08"/>
    <w:rsid w:val="5D151ECD"/>
    <w:rsid w:val="5DB09868"/>
    <w:rsid w:val="5DBD4F23"/>
    <w:rsid w:val="5DFC6DE3"/>
    <w:rsid w:val="5E3C05B7"/>
    <w:rsid w:val="5E57504A"/>
    <w:rsid w:val="5E761838"/>
    <w:rsid w:val="5ECE23A4"/>
    <w:rsid w:val="5F152E18"/>
    <w:rsid w:val="5F3CBDD9"/>
    <w:rsid w:val="5F8D4BD4"/>
    <w:rsid w:val="5FA547D0"/>
    <w:rsid w:val="5FAC00AF"/>
    <w:rsid w:val="60135176"/>
    <w:rsid w:val="60158E1F"/>
    <w:rsid w:val="6019363E"/>
    <w:rsid w:val="609042A6"/>
    <w:rsid w:val="60B5F609"/>
    <w:rsid w:val="60D4E8A3"/>
    <w:rsid w:val="61046F3F"/>
    <w:rsid w:val="61076A61"/>
    <w:rsid w:val="61B5069F"/>
    <w:rsid w:val="61F2F376"/>
    <w:rsid w:val="623B9403"/>
    <w:rsid w:val="624EBEE2"/>
    <w:rsid w:val="62772598"/>
    <w:rsid w:val="62A0FB58"/>
    <w:rsid w:val="62FA61D9"/>
    <w:rsid w:val="62FCC9CE"/>
    <w:rsid w:val="632EC655"/>
    <w:rsid w:val="63380738"/>
    <w:rsid w:val="641F36FA"/>
    <w:rsid w:val="6461E3D6"/>
    <w:rsid w:val="64B3F23E"/>
    <w:rsid w:val="64C5300D"/>
    <w:rsid w:val="654E36EA"/>
    <w:rsid w:val="65BCB636"/>
    <w:rsid w:val="661049CE"/>
    <w:rsid w:val="661A493B"/>
    <w:rsid w:val="66232C4C"/>
    <w:rsid w:val="66232FB9"/>
    <w:rsid w:val="664F031D"/>
    <w:rsid w:val="67577CB3"/>
    <w:rsid w:val="6757A3DE"/>
    <w:rsid w:val="679216EB"/>
    <w:rsid w:val="67D0996B"/>
    <w:rsid w:val="67EA7CC8"/>
    <w:rsid w:val="67F8C5ED"/>
    <w:rsid w:val="68439F0C"/>
    <w:rsid w:val="6858D7C4"/>
    <w:rsid w:val="6871DC34"/>
    <w:rsid w:val="68C3FDE4"/>
    <w:rsid w:val="69FCB023"/>
    <w:rsid w:val="6A236CC8"/>
    <w:rsid w:val="6A2400E1"/>
    <w:rsid w:val="6A26211C"/>
    <w:rsid w:val="6ACFAA00"/>
    <w:rsid w:val="6AEDBA5E"/>
    <w:rsid w:val="6B0D8367"/>
    <w:rsid w:val="6B77F03E"/>
    <w:rsid w:val="6BAA685F"/>
    <w:rsid w:val="6BC1A0E0"/>
    <w:rsid w:val="6C5275CD"/>
    <w:rsid w:val="6D3622C1"/>
    <w:rsid w:val="6D48F350"/>
    <w:rsid w:val="6D863430"/>
    <w:rsid w:val="6E34BCB0"/>
    <w:rsid w:val="6E50EEC0"/>
    <w:rsid w:val="6EB39E26"/>
    <w:rsid w:val="6EC510C8"/>
    <w:rsid w:val="6EEBFEEC"/>
    <w:rsid w:val="6EEC2ED9"/>
    <w:rsid w:val="6F0CFB9A"/>
    <w:rsid w:val="6F333F68"/>
    <w:rsid w:val="6F34AF12"/>
    <w:rsid w:val="6FA4678E"/>
    <w:rsid w:val="6FC71148"/>
    <w:rsid w:val="70472B98"/>
    <w:rsid w:val="708A9745"/>
    <w:rsid w:val="70B47BAA"/>
    <w:rsid w:val="70C85B1E"/>
    <w:rsid w:val="71026966"/>
    <w:rsid w:val="711F9163"/>
    <w:rsid w:val="712BC857"/>
    <w:rsid w:val="7158D782"/>
    <w:rsid w:val="7165E260"/>
    <w:rsid w:val="71A53D1F"/>
    <w:rsid w:val="71C5D888"/>
    <w:rsid w:val="71F58A83"/>
    <w:rsid w:val="71FB1921"/>
    <w:rsid w:val="720914E5"/>
    <w:rsid w:val="720D5B7D"/>
    <w:rsid w:val="7259A1E6"/>
    <w:rsid w:val="7281EDEC"/>
    <w:rsid w:val="73455B83"/>
    <w:rsid w:val="73AE2A3E"/>
    <w:rsid w:val="73DCF75E"/>
    <w:rsid w:val="741C1745"/>
    <w:rsid w:val="742582BC"/>
    <w:rsid w:val="74A9BA94"/>
    <w:rsid w:val="751E3388"/>
    <w:rsid w:val="7594467F"/>
    <w:rsid w:val="75B2934E"/>
    <w:rsid w:val="75D2DDD9"/>
    <w:rsid w:val="76E7B0A1"/>
    <w:rsid w:val="77158494"/>
    <w:rsid w:val="772528F0"/>
    <w:rsid w:val="77536863"/>
    <w:rsid w:val="7766B0AD"/>
    <w:rsid w:val="77758E03"/>
    <w:rsid w:val="779D15FA"/>
    <w:rsid w:val="779DE039"/>
    <w:rsid w:val="77C3B42A"/>
    <w:rsid w:val="781CA045"/>
    <w:rsid w:val="7842FAE4"/>
    <w:rsid w:val="789530A5"/>
    <w:rsid w:val="7987B4AD"/>
    <w:rsid w:val="79DE29D4"/>
    <w:rsid w:val="79EB6AB7"/>
    <w:rsid w:val="7A5EEBA0"/>
    <w:rsid w:val="7AB5B245"/>
    <w:rsid w:val="7AF7E12B"/>
    <w:rsid w:val="7B4A77A6"/>
    <w:rsid w:val="7D0FCD64"/>
    <w:rsid w:val="7DC666FB"/>
    <w:rsid w:val="7E377E1E"/>
    <w:rsid w:val="7E406781"/>
    <w:rsid w:val="7EF3A80F"/>
    <w:rsid w:val="7F5C64A0"/>
    <w:rsid w:val="7F690A6F"/>
    <w:rsid w:val="7FA4E491"/>
    <w:rsid w:val="7FB142D0"/>
    <w:rsid w:val="7FCEF785"/>
    <w:rsid w:val="7FF88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27EF"/>
  <w15:chartTrackingRefBased/>
  <w15:docId w15:val="{0D2D7B26-8E11-4E77-A237-EFA331F0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8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88D"/>
    <w:pPr>
      <w:ind w:left="720"/>
      <w:contextualSpacing/>
    </w:pPr>
  </w:style>
  <w:style w:type="paragraph" w:styleId="BalloonText">
    <w:name w:val="Balloon Text"/>
    <w:basedOn w:val="Normal"/>
    <w:link w:val="BalloonTextChar"/>
    <w:uiPriority w:val="99"/>
    <w:semiHidden/>
    <w:unhideWhenUsed/>
    <w:rsid w:val="00F76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97"/>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76097"/>
    <w:rPr>
      <w:sz w:val="16"/>
      <w:szCs w:val="16"/>
    </w:rPr>
  </w:style>
  <w:style w:type="paragraph" w:styleId="CommentText">
    <w:name w:val="annotation text"/>
    <w:basedOn w:val="Normal"/>
    <w:link w:val="CommentTextChar"/>
    <w:uiPriority w:val="99"/>
    <w:unhideWhenUsed/>
    <w:rsid w:val="00F76097"/>
    <w:rPr>
      <w:sz w:val="20"/>
      <w:szCs w:val="20"/>
    </w:rPr>
  </w:style>
  <w:style w:type="character" w:customStyle="1" w:styleId="CommentTextChar">
    <w:name w:val="Comment Text Char"/>
    <w:basedOn w:val="DefaultParagraphFont"/>
    <w:link w:val="CommentText"/>
    <w:uiPriority w:val="99"/>
    <w:rsid w:val="00F7609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76097"/>
    <w:rPr>
      <w:b/>
      <w:bCs/>
    </w:rPr>
  </w:style>
  <w:style w:type="character" w:customStyle="1" w:styleId="CommentSubjectChar">
    <w:name w:val="Comment Subject Char"/>
    <w:basedOn w:val="CommentTextChar"/>
    <w:link w:val="CommentSubject"/>
    <w:uiPriority w:val="99"/>
    <w:semiHidden/>
    <w:rsid w:val="00F76097"/>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CD68DC"/>
    <w:rPr>
      <w:color w:val="0563C1" w:themeColor="hyperlink"/>
      <w:u w:val="single"/>
    </w:rPr>
  </w:style>
  <w:style w:type="character" w:customStyle="1" w:styleId="UnresolvedMention1">
    <w:name w:val="Unresolved Mention1"/>
    <w:basedOn w:val="DefaultParagraphFont"/>
    <w:uiPriority w:val="99"/>
    <w:semiHidden/>
    <w:unhideWhenUsed/>
    <w:rsid w:val="00CD68DC"/>
    <w:rPr>
      <w:color w:val="605E5C"/>
      <w:shd w:val="clear" w:color="auto" w:fill="E1DFDD"/>
    </w:rPr>
  </w:style>
  <w:style w:type="character" w:styleId="FollowedHyperlink">
    <w:name w:val="FollowedHyperlink"/>
    <w:basedOn w:val="DefaultParagraphFont"/>
    <w:uiPriority w:val="99"/>
    <w:semiHidden/>
    <w:unhideWhenUsed/>
    <w:rsid w:val="00C66E27"/>
    <w:rPr>
      <w:color w:val="954F72" w:themeColor="followedHyperlink"/>
      <w:u w:val="single"/>
    </w:rPr>
  </w:style>
  <w:style w:type="paragraph" w:styleId="Revision">
    <w:name w:val="Revision"/>
    <w:hidden/>
    <w:uiPriority w:val="99"/>
    <w:semiHidden/>
    <w:rsid w:val="0045008C"/>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3F0B5F"/>
    <w:rPr>
      <w:sz w:val="20"/>
      <w:szCs w:val="20"/>
    </w:rPr>
  </w:style>
  <w:style w:type="character" w:customStyle="1" w:styleId="FootnoteTextChar">
    <w:name w:val="Footnote Text Char"/>
    <w:basedOn w:val="DefaultParagraphFont"/>
    <w:link w:val="FootnoteText"/>
    <w:rsid w:val="003F0B5F"/>
    <w:rPr>
      <w:rFonts w:ascii="Times New Roman" w:eastAsia="Times New Roman" w:hAnsi="Times New Roman" w:cs="Times New Roman"/>
      <w:sz w:val="20"/>
      <w:szCs w:val="20"/>
      <w:lang w:eastAsia="en-GB"/>
    </w:rPr>
  </w:style>
  <w:style w:type="character" w:styleId="FootnoteReference">
    <w:name w:val="footnote reference"/>
    <w:rsid w:val="003F0B5F"/>
    <w:rPr>
      <w:vertAlign w:val="superscript"/>
    </w:rPr>
  </w:style>
  <w:style w:type="table" w:customStyle="1" w:styleId="TableGrid1">
    <w:name w:val="Table Grid1"/>
    <w:basedOn w:val="TableNormal"/>
    <w:next w:val="TableGrid"/>
    <w:uiPriority w:val="39"/>
    <w:rsid w:val="00B6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43AA9"/>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Default">
    <w:name w:val="Default"/>
    <w:rsid w:val="001A75CE"/>
    <w:pPr>
      <w:autoSpaceDE w:val="0"/>
      <w:autoSpaceDN w:val="0"/>
      <w:adjustRightInd w:val="0"/>
      <w:spacing w:after="0" w:line="240" w:lineRule="auto"/>
    </w:pPr>
    <w:rPr>
      <w:rFonts w:ascii="Symbol" w:hAnsi="Symbol" w:cs="Symbol"/>
      <w:color w:val="000000"/>
      <w:sz w:val="24"/>
      <w:szCs w:val="24"/>
    </w:rPr>
  </w:style>
  <w:style w:type="table" w:styleId="TableGridLight">
    <w:name w:val="Grid Table Light"/>
    <w:basedOn w:val="TableNormal"/>
    <w:uiPriority w:val="40"/>
    <w:rsid w:val="00A31D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4577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6865">
      <w:bodyDiv w:val="1"/>
      <w:marLeft w:val="0"/>
      <w:marRight w:val="0"/>
      <w:marTop w:val="0"/>
      <w:marBottom w:val="0"/>
      <w:divBdr>
        <w:top w:val="none" w:sz="0" w:space="0" w:color="auto"/>
        <w:left w:val="none" w:sz="0" w:space="0" w:color="auto"/>
        <w:bottom w:val="none" w:sz="0" w:space="0" w:color="auto"/>
        <w:right w:val="none" w:sz="0" w:space="0" w:color="auto"/>
      </w:divBdr>
    </w:div>
    <w:div w:id="310137772">
      <w:bodyDiv w:val="1"/>
      <w:marLeft w:val="0"/>
      <w:marRight w:val="0"/>
      <w:marTop w:val="0"/>
      <w:marBottom w:val="0"/>
      <w:divBdr>
        <w:top w:val="none" w:sz="0" w:space="0" w:color="auto"/>
        <w:left w:val="none" w:sz="0" w:space="0" w:color="auto"/>
        <w:bottom w:val="none" w:sz="0" w:space="0" w:color="auto"/>
        <w:right w:val="none" w:sz="0" w:space="0" w:color="auto"/>
      </w:divBdr>
    </w:div>
    <w:div w:id="486671826">
      <w:bodyDiv w:val="1"/>
      <w:marLeft w:val="0"/>
      <w:marRight w:val="0"/>
      <w:marTop w:val="0"/>
      <w:marBottom w:val="0"/>
      <w:divBdr>
        <w:top w:val="none" w:sz="0" w:space="0" w:color="auto"/>
        <w:left w:val="none" w:sz="0" w:space="0" w:color="auto"/>
        <w:bottom w:val="none" w:sz="0" w:space="0" w:color="auto"/>
        <w:right w:val="none" w:sz="0" w:space="0" w:color="auto"/>
      </w:divBdr>
    </w:div>
    <w:div w:id="833297079">
      <w:bodyDiv w:val="1"/>
      <w:marLeft w:val="0"/>
      <w:marRight w:val="0"/>
      <w:marTop w:val="0"/>
      <w:marBottom w:val="0"/>
      <w:divBdr>
        <w:top w:val="none" w:sz="0" w:space="0" w:color="auto"/>
        <w:left w:val="none" w:sz="0" w:space="0" w:color="auto"/>
        <w:bottom w:val="none" w:sz="0" w:space="0" w:color="auto"/>
        <w:right w:val="none" w:sz="0" w:space="0" w:color="auto"/>
      </w:divBdr>
    </w:div>
    <w:div w:id="849754525">
      <w:bodyDiv w:val="1"/>
      <w:marLeft w:val="0"/>
      <w:marRight w:val="0"/>
      <w:marTop w:val="0"/>
      <w:marBottom w:val="0"/>
      <w:divBdr>
        <w:top w:val="none" w:sz="0" w:space="0" w:color="auto"/>
        <w:left w:val="none" w:sz="0" w:space="0" w:color="auto"/>
        <w:bottom w:val="none" w:sz="0" w:space="0" w:color="auto"/>
        <w:right w:val="none" w:sz="0" w:space="0" w:color="auto"/>
      </w:divBdr>
    </w:div>
    <w:div w:id="1508866137">
      <w:bodyDiv w:val="1"/>
      <w:marLeft w:val="0"/>
      <w:marRight w:val="0"/>
      <w:marTop w:val="0"/>
      <w:marBottom w:val="0"/>
      <w:divBdr>
        <w:top w:val="none" w:sz="0" w:space="0" w:color="auto"/>
        <w:left w:val="none" w:sz="0" w:space="0" w:color="auto"/>
        <w:bottom w:val="none" w:sz="0" w:space="0" w:color="auto"/>
        <w:right w:val="none" w:sz="0" w:space="0" w:color="auto"/>
      </w:divBdr>
    </w:div>
    <w:div w:id="1593512485">
      <w:bodyDiv w:val="1"/>
      <w:marLeft w:val="0"/>
      <w:marRight w:val="0"/>
      <w:marTop w:val="0"/>
      <w:marBottom w:val="0"/>
      <w:divBdr>
        <w:top w:val="none" w:sz="0" w:space="0" w:color="auto"/>
        <w:left w:val="none" w:sz="0" w:space="0" w:color="auto"/>
        <w:bottom w:val="none" w:sz="0" w:space="0" w:color="auto"/>
        <w:right w:val="none" w:sz="0" w:space="0" w:color="auto"/>
      </w:divBdr>
    </w:div>
    <w:div w:id="1656684599">
      <w:bodyDiv w:val="1"/>
      <w:marLeft w:val="0"/>
      <w:marRight w:val="0"/>
      <w:marTop w:val="0"/>
      <w:marBottom w:val="0"/>
      <w:divBdr>
        <w:top w:val="none" w:sz="0" w:space="0" w:color="auto"/>
        <w:left w:val="none" w:sz="0" w:space="0" w:color="auto"/>
        <w:bottom w:val="none" w:sz="0" w:space="0" w:color="auto"/>
        <w:right w:val="none" w:sz="0" w:space="0" w:color="auto"/>
      </w:divBdr>
    </w:div>
    <w:div w:id="1679845546">
      <w:bodyDiv w:val="1"/>
      <w:marLeft w:val="0"/>
      <w:marRight w:val="0"/>
      <w:marTop w:val="0"/>
      <w:marBottom w:val="0"/>
      <w:divBdr>
        <w:top w:val="none" w:sz="0" w:space="0" w:color="auto"/>
        <w:left w:val="none" w:sz="0" w:space="0" w:color="auto"/>
        <w:bottom w:val="none" w:sz="0" w:space="0" w:color="auto"/>
        <w:right w:val="none" w:sz="0" w:space="0" w:color="auto"/>
      </w:divBdr>
    </w:div>
    <w:div w:id="18792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2.jpg@01D7CA58.85B196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9CCCB3FD0DA24790452C096217ECA2" ma:contentTypeVersion="6" ma:contentTypeDescription="Create a new document." ma:contentTypeScope="" ma:versionID="6a52cad621387f663a83986fbb0b726d">
  <xsd:schema xmlns:xsd="http://www.w3.org/2001/XMLSchema" xmlns:xs="http://www.w3.org/2001/XMLSchema" xmlns:p="http://schemas.microsoft.com/office/2006/metadata/properties" xmlns:ns2="8d65ac23-9282-402c-accf-18911fe42c56" xmlns:ns3="7b76ae1f-d132-4d9a-8577-1cf20d208d5f" targetNamespace="http://schemas.microsoft.com/office/2006/metadata/properties" ma:root="true" ma:fieldsID="9a1e0d06cefa24ed68728825d9ce6488" ns2:_="" ns3:_="">
    <xsd:import namespace="8d65ac23-9282-402c-accf-18911fe42c56"/>
    <xsd:import namespace="7b76ae1f-d132-4d9a-8577-1cf20d208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5ac23-9282-402c-accf-18911fe42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76ae1f-d132-4d9a-8577-1cf20d208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1EF09-B40C-46AF-A11D-99C2A61A7282}">
  <ds:schemaRefs>
    <ds:schemaRef ds:uri="http://schemas.openxmlformats.org/officeDocument/2006/bibliography"/>
  </ds:schemaRefs>
</ds:datastoreItem>
</file>

<file path=customXml/itemProps2.xml><?xml version="1.0" encoding="utf-8"?>
<ds:datastoreItem xmlns:ds="http://schemas.openxmlformats.org/officeDocument/2006/customXml" ds:itemID="{DFEC14E5-41F6-4F7E-ADD3-ED17D635038A}">
  <ds:schemaRefs>
    <ds:schemaRef ds:uri="http://schemas.microsoft.com/sharepoint/v3/contenttype/forms"/>
  </ds:schemaRefs>
</ds:datastoreItem>
</file>

<file path=customXml/itemProps3.xml><?xml version="1.0" encoding="utf-8"?>
<ds:datastoreItem xmlns:ds="http://schemas.openxmlformats.org/officeDocument/2006/customXml" ds:itemID="{A7D76501-A939-4F0A-B7F8-9BF3B5635C85}">
  <ds:schemaRefs>
    <ds:schemaRef ds:uri="7b76ae1f-d132-4d9a-8577-1cf20d208d5f"/>
    <ds:schemaRef ds:uri="8d65ac23-9282-402c-accf-18911fe42c56"/>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purl.org/dc/terms/"/>
  </ds:schemaRefs>
</ds:datastoreItem>
</file>

<file path=customXml/itemProps4.xml><?xml version="1.0" encoding="utf-8"?>
<ds:datastoreItem xmlns:ds="http://schemas.openxmlformats.org/officeDocument/2006/customXml" ds:itemID="{D58BFD89-4014-47BF-A166-895C748EB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5ac23-9282-402c-accf-18911fe42c56"/>
    <ds:schemaRef ds:uri="7b76ae1f-d132-4d9a-8577-1cf20d208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2938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dc:creator>
  <cp:keywords/>
  <dc:description/>
  <cp:lastModifiedBy>Pells, Heather</cp:lastModifiedBy>
  <cp:revision>2</cp:revision>
  <dcterms:created xsi:type="dcterms:W3CDTF">2024-11-29T15:46:00Z</dcterms:created>
  <dcterms:modified xsi:type="dcterms:W3CDTF">2024-11-29T15:46:00Z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0x010100279CCCB3FD0DA24790452C096217ECA2</vt:lpwstr>
  </property>
</Properties>
</file>